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69" w:rsidRDefault="003C2F69" w:rsidP="003C2F69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2</w:t>
      </w:r>
    </w:p>
    <w:p w:rsidR="003C2F69" w:rsidRDefault="003C2F69" w:rsidP="003C2F69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протоколу публичных слушаний </w:t>
      </w:r>
    </w:p>
    <w:p w:rsidR="003C2F69" w:rsidRDefault="003C2F69" w:rsidP="003C2F69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</w:t>
      </w:r>
      <w:r w:rsidR="0010411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.05.201</w:t>
      </w:r>
      <w:r w:rsidR="00104114">
        <w:rPr>
          <w:rFonts w:ascii="Times New Roman CYR" w:hAnsi="Times New Roman CYR" w:cs="Times New Roman CYR"/>
          <w:sz w:val="28"/>
          <w:szCs w:val="28"/>
        </w:rPr>
        <w:t>6</w:t>
      </w:r>
    </w:p>
    <w:p w:rsidR="003C2F69" w:rsidRDefault="003C2F69" w:rsidP="003C2F69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C0283" w:rsidRDefault="006E22F9" w:rsidP="00C77466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Добрый </w:t>
      </w:r>
      <w:r w:rsidR="00635E43">
        <w:rPr>
          <w:rFonts w:ascii="Times New Roman CYR" w:hAnsi="Times New Roman CYR" w:cs="Times New Roman CYR"/>
          <w:sz w:val="28"/>
          <w:szCs w:val="28"/>
        </w:rPr>
        <w:t xml:space="preserve">день </w:t>
      </w:r>
      <w:r>
        <w:rPr>
          <w:rFonts w:ascii="Times New Roman CYR" w:hAnsi="Times New Roman CYR" w:cs="Times New Roman CYR"/>
          <w:sz w:val="28"/>
          <w:szCs w:val="28"/>
        </w:rPr>
        <w:t xml:space="preserve">уважаемые </w:t>
      </w:r>
      <w:r w:rsidR="00E53321">
        <w:rPr>
          <w:rFonts w:ascii="Times New Roman CYR" w:hAnsi="Times New Roman CYR" w:cs="Times New Roman CYR"/>
          <w:sz w:val="28"/>
          <w:szCs w:val="28"/>
        </w:rPr>
        <w:t>коллеги, участники публичных слушаний</w:t>
      </w:r>
      <w:r w:rsidR="004100DD">
        <w:rPr>
          <w:rFonts w:ascii="Times New Roman CYR" w:hAnsi="Times New Roman CYR" w:cs="Times New Roman CYR"/>
          <w:sz w:val="28"/>
          <w:szCs w:val="28"/>
        </w:rPr>
        <w:t>!</w:t>
      </w:r>
    </w:p>
    <w:p w:rsidR="00542A80" w:rsidRPr="00542A80" w:rsidRDefault="00542A80" w:rsidP="00C77466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42A80" w:rsidRPr="004E39A3" w:rsidRDefault="00542A80" w:rsidP="00C77466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39A3">
        <w:rPr>
          <w:rFonts w:ascii="Times New Roman CYR" w:hAnsi="Times New Roman CYR" w:cs="Times New Roman CYR"/>
          <w:sz w:val="28"/>
          <w:szCs w:val="28"/>
        </w:rPr>
        <w:t xml:space="preserve">В соответствии с требованиями </w:t>
      </w:r>
      <w:r w:rsidR="00A33435">
        <w:rPr>
          <w:rFonts w:ascii="Times New Roman CYR" w:hAnsi="Times New Roman CYR" w:cs="Times New Roman CYR"/>
          <w:sz w:val="28"/>
          <w:szCs w:val="28"/>
        </w:rPr>
        <w:t>Бюджетного кодекса</w:t>
      </w:r>
      <w:r w:rsidRPr="004E39A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33435">
        <w:rPr>
          <w:rFonts w:ascii="Times New Roman CYR" w:hAnsi="Times New Roman CYR" w:cs="Times New Roman CYR"/>
          <w:sz w:val="28"/>
          <w:szCs w:val="28"/>
        </w:rPr>
        <w:t>П</w:t>
      </w:r>
      <w:r w:rsidRPr="004E39A3">
        <w:rPr>
          <w:rFonts w:ascii="Times New Roman CYR" w:hAnsi="Times New Roman CYR" w:cs="Times New Roman CYR"/>
          <w:sz w:val="28"/>
          <w:szCs w:val="28"/>
        </w:rPr>
        <w:t xml:space="preserve">оложением о бюджетном процессе </w:t>
      </w:r>
      <w:r w:rsidR="00AB6A2A" w:rsidRPr="004E39A3">
        <w:rPr>
          <w:rFonts w:ascii="Times New Roman CYR" w:hAnsi="Times New Roman CYR" w:cs="Times New Roman CYR"/>
          <w:sz w:val="28"/>
          <w:szCs w:val="28"/>
        </w:rPr>
        <w:t>и в рамках своих полномочий  Контрольно-счетной палатой</w:t>
      </w:r>
      <w:r w:rsidR="00A40B56" w:rsidRPr="004E39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39A3">
        <w:rPr>
          <w:rFonts w:ascii="Times New Roman CYR" w:hAnsi="Times New Roman CYR" w:cs="Times New Roman CYR"/>
          <w:sz w:val="28"/>
          <w:szCs w:val="28"/>
        </w:rPr>
        <w:t>ра</w:t>
      </w:r>
      <w:r w:rsidR="00AB6A2A" w:rsidRPr="004E39A3">
        <w:rPr>
          <w:rFonts w:ascii="Times New Roman CYR" w:hAnsi="Times New Roman CYR" w:cs="Times New Roman CYR"/>
          <w:sz w:val="28"/>
          <w:szCs w:val="28"/>
        </w:rPr>
        <w:t>ссмотрено исполнение бюджета Чайковского муниципального района</w:t>
      </w:r>
      <w:r w:rsidRPr="004E39A3">
        <w:rPr>
          <w:rFonts w:ascii="Times New Roman CYR" w:hAnsi="Times New Roman CYR" w:cs="Times New Roman CYR"/>
          <w:sz w:val="28"/>
          <w:szCs w:val="28"/>
        </w:rPr>
        <w:t xml:space="preserve"> за 201</w:t>
      </w:r>
      <w:r w:rsidR="00AB6A2A" w:rsidRPr="004E39A3">
        <w:rPr>
          <w:rFonts w:ascii="Times New Roman CYR" w:hAnsi="Times New Roman CYR" w:cs="Times New Roman CYR"/>
          <w:sz w:val="28"/>
          <w:szCs w:val="28"/>
        </w:rPr>
        <w:t>5</w:t>
      </w:r>
      <w:r w:rsidRPr="004E39A3">
        <w:rPr>
          <w:rFonts w:ascii="Times New Roman CYR" w:hAnsi="Times New Roman CYR" w:cs="Times New Roman CYR"/>
          <w:sz w:val="28"/>
          <w:szCs w:val="28"/>
        </w:rPr>
        <w:t xml:space="preserve"> год и подготовлено заключение по результатам внешней проверки </w:t>
      </w:r>
      <w:r w:rsidR="00E36E32" w:rsidRPr="004E39A3">
        <w:rPr>
          <w:rFonts w:ascii="Times New Roman CYR" w:hAnsi="Times New Roman CYR" w:cs="Times New Roman CYR"/>
          <w:sz w:val="28"/>
          <w:szCs w:val="28"/>
        </w:rPr>
        <w:t xml:space="preserve">сводной бюджетной отчетности </w:t>
      </w:r>
      <w:r w:rsidR="00A33435">
        <w:rPr>
          <w:rFonts w:ascii="Times New Roman CYR" w:hAnsi="Times New Roman CYR" w:cs="Times New Roman CYR"/>
          <w:sz w:val="28"/>
          <w:szCs w:val="28"/>
        </w:rPr>
        <w:t>Чайковского муниципального района</w:t>
      </w:r>
      <w:r w:rsidR="00E36E32" w:rsidRPr="004E39A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4E39A3">
        <w:rPr>
          <w:rFonts w:ascii="Times New Roman CYR" w:hAnsi="Times New Roman CYR" w:cs="Times New Roman CYR"/>
          <w:sz w:val="28"/>
          <w:szCs w:val="28"/>
        </w:rPr>
        <w:t xml:space="preserve">годовой отчетности </w:t>
      </w:r>
      <w:r w:rsidR="00E36E32" w:rsidRPr="004E39A3">
        <w:rPr>
          <w:rFonts w:ascii="Times New Roman CYR" w:hAnsi="Times New Roman CYR" w:cs="Times New Roman CYR"/>
          <w:sz w:val="28"/>
          <w:szCs w:val="28"/>
        </w:rPr>
        <w:t>1</w:t>
      </w:r>
      <w:r w:rsidR="00425907" w:rsidRPr="004E39A3">
        <w:rPr>
          <w:rFonts w:ascii="Times New Roman CYR" w:hAnsi="Times New Roman CYR" w:cs="Times New Roman CYR"/>
          <w:sz w:val="28"/>
          <w:szCs w:val="28"/>
        </w:rPr>
        <w:t>0</w:t>
      </w:r>
      <w:r w:rsidR="00E36E32" w:rsidRPr="004E39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39A3">
        <w:rPr>
          <w:rFonts w:ascii="Times New Roman CYR" w:hAnsi="Times New Roman CYR" w:cs="Times New Roman CYR"/>
          <w:sz w:val="28"/>
          <w:szCs w:val="28"/>
        </w:rPr>
        <w:t>главных администраторов бюджетных средств.</w:t>
      </w:r>
    </w:p>
    <w:p w:rsidR="00663BE9" w:rsidRPr="004E39A3" w:rsidRDefault="00663BE9" w:rsidP="00E40611">
      <w:pPr>
        <w:pStyle w:val="ab"/>
        <w:widowControl/>
        <w:tabs>
          <w:tab w:val="left" w:pos="0"/>
        </w:tabs>
        <w:spacing w:line="276" w:lineRule="auto"/>
        <w:ind w:firstLine="720"/>
        <w:rPr>
          <w:szCs w:val="28"/>
        </w:rPr>
      </w:pPr>
      <w:r w:rsidRPr="004E39A3">
        <w:rPr>
          <w:szCs w:val="28"/>
        </w:rPr>
        <w:t>Внешняя проверка годового отчета</w:t>
      </w:r>
      <w:r w:rsidR="006C6F0D" w:rsidRPr="004E39A3">
        <w:rPr>
          <w:szCs w:val="28"/>
        </w:rPr>
        <w:t xml:space="preserve"> проводилась</w:t>
      </w:r>
      <w:r w:rsidRPr="004E39A3">
        <w:rPr>
          <w:szCs w:val="28"/>
        </w:rPr>
        <w:t xml:space="preserve"> </w:t>
      </w:r>
      <w:r w:rsidR="00C2463E" w:rsidRPr="004E39A3">
        <w:rPr>
          <w:szCs w:val="28"/>
        </w:rPr>
        <w:t>с целью установления  степени полноты и достоверности представленной бюджетной отчетности, оценк</w:t>
      </w:r>
      <w:r w:rsidR="007A3E39" w:rsidRPr="004E39A3">
        <w:rPr>
          <w:szCs w:val="28"/>
        </w:rPr>
        <w:t>и</w:t>
      </w:r>
      <w:r w:rsidR="00C2463E" w:rsidRPr="004E39A3">
        <w:rPr>
          <w:szCs w:val="28"/>
        </w:rPr>
        <w:t xml:space="preserve"> соблюдения требований законодательства в процессе исполнения бюджета </w:t>
      </w:r>
      <w:r w:rsidR="00A33435">
        <w:rPr>
          <w:szCs w:val="28"/>
        </w:rPr>
        <w:t>Чайковского муниципального района</w:t>
      </w:r>
      <w:r w:rsidR="00C2463E" w:rsidRPr="004E39A3">
        <w:rPr>
          <w:szCs w:val="28"/>
        </w:rPr>
        <w:t xml:space="preserve">, </w:t>
      </w:r>
      <w:r w:rsidR="00AB6A2A" w:rsidRPr="004E39A3">
        <w:rPr>
          <w:szCs w:val="28"/>
        </w:rPr>
        <w:t>и</w:t>
      </w:r>
      <w:r w:rsidR="00BA73DD" w:rsidRPr="004E39A3">
        <w:rPr>
          <w:szCs w:val="28"/>
        </w:rPr>
        <w:t xml:space="preserve"> </w:t>
      </w:r>
      <w:r w:rsidR="007A3E39" w:rsidRPr="004E39A3">
        <w:rPr>
          <w:szCs w:val="28"/>
        </w:rPr>
        <w:t>динамики</w:t>
      </w:r>
      <w:r w:rsidR="00BA73DD" w:rsidRPr="004E39A3">
        <w:rPr>
          <w:szCs w:val="28"/>
        </w:rPr>
        <w:t xml:space="preserve"> </w:t>
      </w:r>
      <w:r w:rsidR="0008106C" w:rsidRPr="004E39A3">
        <w:rPr>
          <w:szCs w:val="28"/>
        </w:rPr>
        <w:t xml:space="preserve">показателей исполнения бюджета </w:t>
      </w:r>
      <w:r w:rsidR="00AB6A2A" w:rsidRPr="004E39A3">
        <w:rPr>
          <w:szCs w:val="28"/>
        </w:rPr>
        <w:t>по сравнению с 2014 годом.</w:t>
      </w:r>
    </w:p>
    <w:p w:rsidR="00542A80" w:rsidRDefault="00E13A18" w:rsidP="00E40611">
      <w:pPr>
        <w:tabs>
          <w:tab w:val="num" w:pos="16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9A3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администрацией </w:t>
      </w:r>
      <w:r w:rsidR="00A33435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  <w:r w:rsidR="001E7D7E" w:rsidRPr="004E39A3">
        <w:rPr>
          <w:rFonts w:ascii="Times New Roman" w:hAnsi="Times New Roman" w:cs="Times New Roman"/>
          <w:sz w:val="28"/>
          <w:szCs w:val="28"/>
        </w:rPr>
        <w:t xml:space="preserve"> </w:t>
      </w:r>
      <w:r w:rsidRPr="004E39A3">
        <w:rPr>
          <w:rFonts w:ascii="Times New Roman" w:hAnsi="Times New Roman" w:cs="Times New Roman"/>
          <w:sz w:val="28"/>
          <w:szCs w:val="28"/>
        </w:rPr>
        <w:t>одновременно с Отчетом об исполнении бюджета, соответствуют объему и срокам представления, установленны</w:t>
      </w:r>
      <w:r w:rsidR="007A3E39" w:rsidRPr="004E39A3">
        <w:rPr>
          <w:rFonts w:ascii="Times New Roman" w:hAnsi="Times New Roman" w:cs="Times New Roman"/>
          <w:sz w:val="28"/>
          <w:szCs w:val="28"/>
        </w:rPr>
        <w:t>м</w:t>
      </w:r>
      <w:r w:rsidRPr="004E39A3">
        <w:rPr>
          <w:rFonts w:ascii="Times New Roman" w:hAnsi="Times New Roman" w:cs="Times New Roman"/>
          <w:sz w:val="28"/>
          <w:szCs w:val="28"/>
        </w:rPr>
        <w:t xml:space="preserve"> статьей 264 Б</w:t>
      </w:r>
      <w:r w:rsidR="008C0979" w:rsidRPr="004E39A3">
        <w:rPr>
          <w:rFonts w:ascii="Times New Roman" w:hAnsi="Times New Roman" w:cs="Times New Roman"/>
          <w:sz w:val="28"/>
          <w:szCs w:val="28"/>
        </w:rPr>
        <w:t>К</w:t>
      </w:r>
      <w:r w:rsidRPr="004E39A3">
        <w:rPr>
          <w:rFonts w:ascii="Times New Roman" w:hAnsi="Times New Roman" w:cs="Times New Roman"/>
          <w:sz w:val="28"/>
          <w:szCs w:val="28"/>
        </w:rPr>
        <w:t xml:space="preserve"> РФ и статьями 46, 47 </w:t>
      </w:r>
      <w:r w:rsidR="00542A80" w:rsidRPr="004E39A3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33435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542A80" w:rsidRPr="004E39A3">
        <w:rPr>
          <w:rFonts w:ascii="Times New Roman" w:hAnsi="Times New Roman" w:cs="Times New Roman"/>
          <w:sz w:val="28"/>
          <w:szCs w:val="28"/>
        </w:rPr>
        <w:t>.</w:t>
      </w:r>
    </w:p>
    <w:p w:rsidR="00E40611" w:rsidRDefault="00E40611" w:rsidP="00E40611">
      <w:pPr>
        <w:tabs>
          <w:tab w:val="num" w:pos="16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61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 бюджета Чайковского муниципального района в 2015 году осуществлялось в условиях незначительного экономического роста. Показатели социально-экономического развития района в основной своей части достигнуты на уровне средних показателей   по Пермскому краю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0611" w:rsidRPr="00E40611" w:rsidRDefault="00AB6A2A" w:rsidP="00E40611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на представленном слайде  в</w:t>
      </w:r>
      <w:r w:rsidR="00E40611" w:rsidRPr="00E4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показателями соотношения прогнозных планов к фактическому исполнению 2014 года все показатели 2015 года, кроме темпа роста среднемесячной заработной платы, имеют тенденцию к росту. </w:t>
      </w:r>
    </w:p>
    <w:p w:rsidR="00542A80" w:rsidRDefault="00542A80" w:rsidP="00C77466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доход бюджета района посту</w:t>
      </w:r>
      <w:r w:rsidR="005A42D8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ило </w:t>
      </w:r>
      <w:r w:rsidR="00794E39">
        <w:rPr>
          <w:rFonts w:ascii="Times New Roman CYR" w:hAnsi="Times New Roman CYR" w:cs="Times New Roman CYR"/>
          <w:sz w:val="28"/>
          <w:szCs w:val="28"/>
        </w:rPr>
        <w:t>1862,2</w:t>
      </w:r>
      <w:r w:rsidR="00E40611">
        <w:rPr>
          <w:rFonts w:ascii="Times New Roman CYR" w:hAnsi="Times New Roman CYR" w:cs="Times New Roman CYR"/>
          <w:sz w:val="28"/>
          <w:szCs w:val="28"/>
        </w:rPr>
        <w:t xml:space="preserve"> млн. </w:t>
      </w:r>
      <w:r w:rsidR="00794E39">
        <w:rPr>
          <w:rFonts w:ascii="Times New Roman CYR" w:hAnsi="Times New Roman CYR" w:cs="Times New Roman CYR"/>
          <w:sz w:val="28"/>
          <w:szCs w:val="28"/>
        </w:rPr>
        <w:t>рублей. Расход составил 1917,5</w:t>
      </w:r>
      <w:r>
        <w:rPr>
          <w:rFonts w:ascii="Times New Roman CYR" w:hAnsi="Times New Roman CYR" w:cs="Times New Roman CYR"/>
          <w:sz w:val="28"/>
          <w:szCs w:val="28"/>
        </w:rPr>
        <w:t xml:space="preserve"> млн. рублей. Финансовый год зав</w:t>
      </w:r>
      <w:r w:rsidR="005A42D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ршен с </w:t>
      </w:r>
      <w:r w:rsidR="00E40611">
        <w:rPr>
          <w:rFonts w:ascii="Times New Roman CYR" w:hAnsi="Times New Roman CYR" w:cs="Times New Roman CYR"/>
          <w:sz w:val="28"/>
          <w:szCs w:val="28"/>
        </w:rPr>
        <w:t>дефицитом</w:t>
      </w:r>
      <w:r w:rsidR="00D56C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4E39">
        <w:rPr>
          <w:rFonts w:ascii="Times New Roman CYR" w:hAnsi="Times New Roman CYR" w:cs="Times New Roman CYR"/>
          <w:sz w:val="28"/>
          <w:szCs w:val="28"/>
        </w:rPr>
        <w:t>55,3</w:t>
      </w:r>
      <w:r>
        <w:rPr>
          <w:rFonts w:ascii="Times New Roman CYR" w:hAnsi="Times New Roman CYR" w:cs="Times New Roman CYR"/>
          <w:sz w:val="28"/>
          <w:szCs w:val="28"/>
        </w:rPr>
        <w:t xml:space="preserve">  мл</w:t>
      </w:r>
      <w:r w:rsidR="005A42D8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. руб</w:t>
      </w:r>
      <w:r w:rsidR="00D56C40">
        <w:rPr>
          <w:rFonts w:ascii="Times New Roman CYR" w:hAnsi="Times New Roman CYR" w:cs="Times New Roman CYR"/>
          <w:sz w:val="28"/>
          <w:szCs w:val="28"/>
        </w:rPr>
        <w:t>.</w:t>
      </w:r>
      <w:r w:rsidR="00305955">
        <w:rPr>
          <w:rFonts w:ascii="Times New Roman" w:hAnsi="Times New Roman" w:cs="Times New Roman"/>
          <w:sz w:val="28"/>
          <w:szCs w:val="28"/>
        </w:rPr>
        <w:t>, заемные средства для исполнения расходов бюджета не привлекались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42A80" w:rsidRDefault="00542A80" w:rsidP="00C77466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Доходная часть бюджета района за 201</w:t>
      </w:r>
      <w:r w:rsidR="00E4061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 исполнена на </w:t>
      </w:r>
      <w:r w:rsidR="00E40611">
        <w:rPr>
          <w:rFonts w:ascii="Times New Roman CYR" w:hAnsi="Times New Roman CYR" w:cs="Times New Roman CYR"/>
          <w:sz w:val="28"/>
          <w:szCs w:val="28"/>
        </w:rPr>
        <w:t>98,6</w:t>
      </w:r>
      <w:r>
        <w:rPr>
          <w:rFonts w:ascii="Times New Roman CYR" w:hAnsi="Times New Roman CYR" w:cs="Times New Roman CYR"/>
          <w:sz w:val="28"/>
          <w:szCs w:val="28"/>
        </w:rPr>
        <w:t xml:space="preserve">%, расходная часть - на </w:t>
      </w:r>
      <w:r w:rsidR="00E40611">
        <w:rPr>
          <w:rFonts w:ascii="Times New Roman CYR" w:hAnsi="Times New Roman CYR" w:cs="Times New Roman CYR"/>
          <w:sz w:val="28"/>
          <w:szCs w:val="28"/>
        </w:rPr>
        <w:t>97,8</w:t>
      </w:r>
      <w:r>
        <w:rPr>
          <w:rFonts w:ascii="Times New Roman CYR" w:hAnsi="Times New Roman CYR" w:cs="Times New Roman CYR"/>
          <w:sz w:val="28"/>
          <w:szCs w:val="28"/>
        </w:rPr>
        <w:t xml:space="preserve"> % </w:t>
      </w:r>
      <w:r w:rsidR="00E40611">
        <w:rPr>
          <w:rFonts w:ascii="Times New Roman CYR" w:hAnsi="Times New Roman CYR" w:cs="Times New Roman CYR"/>
          <w:sz w:val="28"/>
          <w:szCs w:val="28"/>
        </w:rPr>
        <w:t xml:space="preserve">к уточненному годовому плану. По сравнению с 2014 годом </w:t>
      </w:r>
      <w:r w:rsidR="00672596">
        <w:rPr>
          <w:rFonts w:ascii="Times New Roman CYR" w:hAnsi="Times New Roman CYR" w:cs="Times New Roman CYR"/>
          <w:sz w:val="28"/>
          <w:szCs w:val="28"/>
        </w:rPr>
        <w:t xml:space="preserve">процент исполнения бюджета по доходам </w:t>
      </w:r>
      <w:r w:rsidR="00E40611">
        <w:rPr>
          <w:rFonts w:ascii="Times New Roman CYR" w:hAnsi="Times New Roman CYR" w:cs="Times New Roman CYR"/>
          <w:sz w:val="28"/>
          <w:szCs w:val="28"/>
        </w:rPr>
        <w:t>ниже</w:t>
      </w:r>
      <w:r w:rsidR="007A33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06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596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E40611">
        <w:rPr>
          <w:rFonts w:ascii="Times New Roman CYR" w:hAnsi="Times New Roman CYR" w:cs="Times New Roman CYR"/>
          <w:sz w:val="28"/>
          <w:szCs w:val="28"/>
        </w:rPr>
        <w:t>1,1</w:t>
      </w:r>
      <w:r w:rsidR="00672596">
        <w:rPr>
          <w:rFonts w:ascii="Times New Roman CYR" w:hAnsi="Times New Roman CYR" w:cs="Times New Roman CYR"/>
          <w:sz w:val="28"/>
          <w:szCs w:val="28"/>
        </w:rPr>
        <w:t xml:space="preserve"> %</w:t>
      </w:r>
      <w:r w:rsidR="007A33FE">
        <w:rPr>
          <w:rFonts w:ascii="Times New Roman CYR" w:hAnsi="Times New Roman CYR" w:cs="Times New Roman CYR"/>
          <w:sz w:val="28"/>
          <w:szCs w:val="28"/>
        </w:rPr>
        <w:t xml:space="preserve">, по расходам </w:t>
      </w:r>
      <w:r w:rsidR="00E40611">
        <w:rPr>
          <w:rFonts w:ascii="Times New Roman CYR" w:hAnsi="Times New Roman CYR" w:cs="Times New Roman CYR"/>
          <w:sz w:val="28"/>
          <w:szCs w:val="28"/>
        </w:rPr>
        <w:t xml:space="preserve"> выше на 2,5 </w:t>
      </w:r>
      <w:r w:rsidR="006470C4">
        <w:rPr>
          <w:rFonts w:ascii="Times New Roman CYR" w:hAnsi="Times New Roman CYR" w:cs="Times New Roman CYR"/>
          <w:sz w:val="28"/>
          <w:szCs w:val="28"/>
        </w:rPr>
        <w:t>%</w:t>
      </w:r>
      <w:r w:rsidR="006725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42A80" w:rsidRDefault="00542A80" w:rsidP="00E60EBD">
      <w:pPr>
        <w:tabs>
          <w:tab w:val="left" w:pos="8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отношению к 201</w:t>
      </w:r>
      <w:r w:rsidR="00E4061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7A33FE">
        <w:rPr>
          <w:rFonts w:ascii="Times New Roman CYR" w:hAnsi="Times New Roman CYR" w:cs="Times New Roman CYR"/>
          <w:sz w:val="28"/>
          <w:szCs w:val="28"/>
        </w:rPr>
        <w:t xml:space="preserve">поступления </w:t>
      </w:r>
      <w:r>
        <w:rPr>
          <w:rFonts w:ascii="Times New Roman CYR" w:hAnsi="Times New Roman CYR" w:cs="Times New Roman CYR"/>
          <w:sz w:val="28"/>
          <w:szCs w:val="28"/>
        </w:rPr>
        <w:t>доход</w:t>
      </w:r>
      <w:r w:rsidR="007A33FE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33F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40611">
        <w:rPr>
          <w:rFonts w:ascii="Times New Roman CYR" w:hAnsi="Times New Roman CYR" w:cs="Times New Roman CYR"/>
          <w:sz w:val="28"/>
          <w:szCs w:val="28"/>
        </w:rPr>
        <w:t>бюджет района снизились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33F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794E39">
        <w:rPr>
          <w:rFonts w:ascii="Times New Roman CYR" w:hAnsi="Times New Roman CYR" w:cs="Times New Roman CYR"/>
          <w:sz w:val="28"/>
          <w:szCs w:val="28"/>
        </w:rPr>
        <w:t>11,6</w:t>
      </w:r>
      <w:r>
        <w:rPr>
          <w:rFonts w:ascii="Times New Roman CYR" w:hAnsi="Times New Roman CYR" w:cs="Times New Roman CYR"/>
          <w:sz w:val="28"/>
          <w:szCs w:val="28"/>
        </w:rPr>
        <w:t>% (</w:t>
      </w:r>
      <w:r w:rsidR="001D3CB4">
        <w:rPr>
          <w:rFonts w:ascii="Times New Roman CYR" w:hAnsi="Times New Roman CYR" w:cs="Times New Roman CYR"/>
          <w:sz w:val="28"/>
          <w:szCs w:val="28"/>
        </w:rPr>
        <w:t xml:space="preserve">или на </w:t>
      </w:r>
      <w:r w:rsidR="00794E39">
        <w:rPr>
          <w:rFonts w:ascii="Times New Roman CYR" w:hAnsi="Times New Roman CYR" w:cs="Times New Roman CYR"/>
          <w:sz w:val="28"/>
          <w:szCs w:val="28"/>
        </w:rPr>
        <w:t>244,9</w:t>
      </w:r>
      <w:r>
        <w:rPr>
          <w:rFonts w:ascii="Times New Roman CYR" w:hAnsi="Times New Roman CYR" w:cs="Times New Roman CYR"/>
          <w:sz w:val="28"/>
          <w:szCs w:val="28"/>
        </w:rPr>
        <w:t xml:space="preserve"> мл</w:t>
      </w:r>
      <w:r w:rsidR="00D877AA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. руб.), расходы </w:t>
      </w:r>
      <w:r w:rsidR="001D3CB4">
        <w:rPr>
          <w:rFonts w:ascii="Times New Roman CYR" w:hAnsi="Times New Roman CYR" w:cs="Times New Roman CYR"/>
          <w:sz w:val="28"/>
          <w:szCs w:val="28"/>
        </w:rPr>
        <w:t xml:space="preserve">снизились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794E39">
        <w:rPr>
          <w:rFonts w:ascii="Times New Roman CYR" w:hAnsi="Times New Roman CYR" w:cs="Times New Roman CYR"/>
          <w:sz w:val="28"/>
          <w:szCs w:val="28"/>
        </w:rPr>
        <w:t>7,3</w:t>
      </w:r>
      <w:r>
        <w:rPr>
          <w:rFonts w:ascii="Times New Roman CYR" w:hAnsi="Times New Roman CYR" w:cs="Times New Roman CYR"/>
          <w:sz w:val="28"/>
          <w:szCs w:val="28"/>
        </w:rPr>
        <w:t>%</w:t>
      </w:r>
      <w:r w:rsidR="001D3C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794E39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794E39">
        <w:rPr>
          <w:rFonts w:ascii="Times New Roman CYR" w:hAnsi="Times New Roman CYR" w:cs="Times New Roman CYR"/>
          <w:sz w:val="28"/>
          <w:szCs w:val="28"/>
        </w:rPr>
        <w:lastRenderedPageBreak/>
        <w:t>меньше на -151,1</w:t>
      </w:r>
      <w:r>
        <w:rPr>
          <w:rFonts w:ascii="Times New Roman CYR" w:hAnsi="Times New Roman CYR" w:cs="Times New Roman CYR"/>
          <w:sz w:val="28"/>
          <w:szCs w:val="28"/>
        </w:rPr>
        <w:t xml:space="preserve"> мл</w:t>
      </w:r>
      <w:r w:rsidR="005A42D8">
        <w:rPr>
          <w:rFonts w:ascii="Times New Roman CYR" w:hAnsi="Times New Roman CYR" w:cs="Times New Roman CYR"/>
          <w:sz w:val="28"/>
          <w:szCs w:val="28"/>
        </w:rPr>
        <w:t>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уб.), </w:t>
      </w:r>
      <w:r w:rsidR="00794E39">
        <w:rPr>
          <w:rFonts w:ascii="Times New Roman CYR" w:hAnsi="Times New Roman CYR" w:cs="Times New Roman CYR"/>
          <w:sz w:val="28"/>
          <w:szCs w:val="28"/>
        </w:rPr>
        <w:t>в 2014</w:t>
      </w:r>
      <w:r w:rsidR="001D3CB4">
        <w:rPr>
          <w:rFonts w:ascii="Times New Roman CYR" w:hAnsi="Times New Roman CYR" w:cs="Times New Roman CYR"/>
          <w:sz w:val="28"/>
          <w:szCs w:val="28"/>
        </w:rPr>
        <w:t xml:space="preserve"> году бюджет был исполнен с</w:t>
      </w:r>
      <w:r w:rsidR="00794E39">
        <w:rPr>
          <w:rFonts w:ascii="Times New Roman CYR" w:hAnsi="Times New Roman CYR" w:cs="Times New Roman CYR"/>
          <w:sz w:val="28"/>
          <w:szCs w:val="28"/>
        </w:rPr>
        <w:t xml:space="preserve"> профицитом</w:t>
      </w:r>
      <w:r w:rsidR="00E533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4E39">
        <w:rPr>
          <w:rFonts w:ascii="Times New Roman CYR" w:hAnsi="Times New Roman CYR" w:cs="Times New Roman CYR"/>
          <w:sz w:val="28"/>
          <w:szCs w:val="28"/>
        </w:rPr>
        <w:t>в сумме 38,5</w:t>
      </w:r>
      <w:r w:rsidR="006470C4">
        <w:rPr>
          <w:rFonts w:ascii="Times New Roman CYR" w:hAnsi="Times New Roman CYR" w:cs="Times New Roman CYR"/>
          <w:sz w:val="28"/>
          <w:szCs w:val="28"/>
        </w:rPr>
        <w:t xml:space="preserve"> млн. руб.</w:t>
      </w:r>
      <w:r w:rsidR="00A11276">
        <w:rPr>
          <w:rFonts w:ascii="Times New Roman CYR" w:hAnsi="Times New Roman CYR" w:cs="Times New Roman CYR"/>
          <w:sz w:val="28"/>
          <w:szCs w:val="28"/>
        </w:rPr>
        <w:t>, как я отметил</w:t>
      </w:r>
      <w:r w:rsidR="00794E39">
        <w:rPr>
          <w:rFonts w:ascii="Times New Roman CYR" w:hAnsi="Times New Roman CYR" w:cs="Times New Roman CYR"/>
          <w:sz w:val="28"/>
          <w:szCs w:val="28"/>
        </w:rPr>
        <w:t>а выше финансовый результат 2015 года – дефицит в размере 55,3 млн.рублей.</w:t>
      </w:r>
      <w:r w:rsidR="00A1127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66B6" w:rsidRPr="00EE1456" w:rsidRDefault="00E566B6" w:rsidP="00E7422D">
      <w:pPr>
        <w:pStyle w:val="ad"/>
        <w:spacing w:after="0" w:line="276" w:lineRule="auto"/>
        <w:ind w:left="0" w:firstLine="709"/>
        <w:rPr>
          <w:sz w:val="28"/>
          <w:szCs w:val="28"/>
        </w:rPr>
      </w:pPr>
      <w:r w:rsidRPr="00D114F8">
        <w:rPr>
          <w:sz w:val="28"/>
          <w:szCs w:val="28"/>
        </w:rPr>
        <w:t>В сравнении с 201</w:t>
      </w:r>
      <w:r w:rsidR="00794E39">
        <w:rPr>
          <w:sz w:val="28"/>
          <w:szCs w:val="28"/>
        </w:rPr>
        <w:t>4</w:t>
      </w:r>
      <w:r w:rsidRPr="00D114F8">
        <w:rPr>
          <w:sz w:val="28"/>
          <w:szCs w:val="28"/>
        </w:rPr>
        <w:t xml:space="preserve"> годом </w:t>
      </w:r>
      <w:r w:rsidRPr="0080566D">
        <w:rPr>
          <w:sz w:val="28"/>
          <w:szCs w:val="28"/>
        </w:rPr>
        <w:t>поступления налоговых доходов</w:t>
      </w:r>
      <w:r w:rsidRPr="00D114F8">
        <w:rPr>
          <w:sz w:val="28"/>
          <w:szCs w:val="28"/>
        </w:rPr>
        <w:t xml:space="preserve"> в 201</w:t>
      </w:r>
      <w:r w:rsidR="00794E39">
        <w:rPr>
          <w:sz w:val="28"/>
          <w:szCs w:val="28"/>
        </w:rPr>
        <w:t>5</w:t>
      </w:r>
      <w:r w:rsidRPr="00D114F8">
        <w:rPr>
          <w:sz w:val="28"/>
          <w:szCs w:val="28"/>
        </w:rPr>
        <w:t xml:space="preserve"> году </w:t>
      </w:r>
      <w:r w:rsidR="00794E39">
        <w:rPr>
          <w:sz w:val="28"/>
          <w:szCs w:val="28"/>
        </w:rPr>
        <w:t>увеличились на 17,4</w:t>
      </w:r>
      <w:r w:rsidR="007D0EC1">
        <w:rPr>
          <w:sz w:val="28"/>
          <w:szCs w:val="28"/>
        </w:rPr>
        <w:t xml:space="preserve"> </w:t>
      </w:r>
      <w:r w:rsidRPr="00DC0283">
        <w:rPr>
          <w:sz w:val="28"/>
          <w:szCs w:val="28"/>
        </w:rPr>
        <w:t xml:space="preserve">млн. рублей или на </w:t>
      </w:r>
      <w:r w:rsidR="00E60EBD">
        <w:rPr>
          <w:sz w:val="28"/>
          <w:szCs w:val="28"/>
        </w:rPr>
        <w:t>4</w:t>
      </w:r>
      <w:r w:rsidR="007D0EC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 составили </w:t>
      </w:r>
      <w:r w:rsidR="00E60EBD">
        <w:rPr>
          <w:sz w:val="28"/>
          <w:szCs w:val="28"/>
        </w:rPr>
        <w:t>455,7</w:t>
      </w:r>
      <w:r>
        <w:rPr>
          <w:sz w:val="28"/>
          <w:szCs w:val="28"/>
        </w:rPr>
        <w:t xml:space="preserve"> млн. рублей</w:t>
      </w:r>
      <w:r w:rsidR="005F4F72">
        <w:rPr>
          <w:sz w:val="28"/>
          <w:szCs w:val="28"/>
        </w:rPr>
        <w:t>.</w:t>
      </w:r>
      <w:r w:rsidRPr="00DC0283">
        <w:rPr>
          <w:i/>
          <w:sz w:val="28"/>
          <w:szCs w:val="28"/>
        </w:rPr>
        <w:t xml:space="preserve"> </w:t>
      </w:r>
      <w:r w:rsidRPr="00EE1456">
        <w:rPr>
          <w:sz w:val="28"/>
          <w:szCs w:val="28"/>
        </w:rPr>
        <w:t xml:space="preserve">В структуре доходов бюджета налоговые доходы составили </w:t>
      </w:r>
      <w:r w:rsidR="00E60EBD">
        <w:rPr>
          <w:sz w:val="28"/>
          <w:szCs w:val="28"/>
        </w:rPr>
        <w:t>24,5 % (в 2014</w:t>
      </w:r>
      <w:r w:rsidR="005F4F72">
        <w:rPr>
          <w:sz w:val="28"/>
          <w:szCs w:val="28"/>
        </w:rPr>
        <w:t xml:space="preserve"> году показатель составлял </w:t>
      </w:r>
      <w:r w:rsidR="00E60EBD">
        <w:rPr>
          <w:sz w:val="28"/>
          <w:szCs w:val="28"/>
        </w:rPr>
        <w:t>20,8 %)</w:t>
      </w:r>
      <w:r w:rsidRPr="00EE1456">
        <w:rPr>
          <w:sz w:val="28"/>
          <w:szCs w:val="28"/>
        </w:rPr>
        <w:t xml:space="preserve">.  </w:t>
      </w:r>
    </w:p>
    <w:p w:rsidR="00E566B6" w:rsidRPr="0080566D" w:rsidRDefault="00E60EBD" w:rsidP="0042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6D">
        <w:rPr>
          <w:rFonts w:ascii="Times New Roman" w:hAnsi="Times New Roman" w:cs="Times New Roman"/>
          <w:sz w:val="28"/>
          <w:szCs w:val="28"/>
        </w:rPr>
        <w:t>П</w:t>
      </w:r>
      <w:r w:rsidR="00E566B6" w:rsidRPr="0080566D">
        <w:rPr>
          <w:rFonts w:ascii="Times New Roman" w:hAnsi="Times New Roman" w:cs="Times New Roman"/>
          <w:sz w:val="28"/>
          <w:szCs w:val="28"/>
        </w:rPr>
        <w:t>оступления неналоговых доходов</w:t>
      </w:r>
      <w:r w:rsidR="00E566B6" w:rsidRPr="00E5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2014 годом  </w:t>
      </w:r>
      <w:r w:rsidR="00E566B6" w:rsidRPr="00E566B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E566B6" w:rsidRPr="00E566B6">
        <w:rPr>
          <w:rFonts w:ascii="Times New Roman" w:hAnsi="Times New Roman" w:cs="Times New Roman"/>
          <w:sz w:val="28"/>
          <w:szCs w:val="28"/>
        </w:rPr>
        <w:t xml:space="preserve"> </w:t>
      </w:r>
      <w:r w:rsidR="00F766C3" w:rsidRPr="00E566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15,6</w:t>
      </w:r>
      <w:r w:rsidR="00F766C3" w:rsidRPr="00E566B6">
        <w:rPr>
          <w:rFonts w:ascii="Times New Roman" w:hAnsi="Times New Roman" w:cs="Times New Roman"/>
          <w:sz w:val="28"/>
          <w:szCs w:val="28"/>
        </w:rPr>
        <w:t xml:space="preserve"> %</w:t>
      </w:r>
      <w:r w:rsidR="00F766C3">
        <w:rPr>
          <w:rFonts w:ascii="Times New Roman" w:hAnsi="Times New Roman" w:cs="Times New Roman"/>
          <w:sz w:val="28"/>
          <w:szCs w:val="28"/>
        </w:rPr>
        <w:t xml:space="preserve">, или </w:t>
      </w:r>
      <w:r w:rsidR="00E566B6" w:rsidRPr="00E566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8,4</w:t>
      </w:r>
      <w:r w:rsidR="00E566B6">
        <w:rPr>
          <w:rFonts w:ascii="Times New Roman" w:hAnsi="Times New Roman" w:cs="Times New Roman"/>
          <w:sz w:val="28"/>
          <w:szCs w:val="28"/>
        </w:rPr>
        <w:t xml:space="preserve"> млн.</w:t>
      </w:r>
      <w:r w:rsidR="00E566B6" w:rsidRPr="00E566B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составили 62,1</w:t>
      </w:r>
      <w:r w:rsidR="00A73ED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A73E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3EDC">
        <w:rPr>
          <w:rFonts w:ascii="Times New Roman" w:hAnsi="Times New Roman" w:cs="Times New Roman"/>
          <w:sz w:val="28"/>
          <w:szCs w:val="28"/>
        </w:rPr>
        <w:t>уб.</w:t>
      </w:r>
      <w:r w:rsidR="0042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план поступлений </w:t>
      </w:r>
      <w:r w:rsidR="00D931DF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>
        <w:rPr>
          <w:rFonts w:ascii="Times New Roman" w:hAnsi="Times New Roman" w:cs="Times New Roman"/>
          <w:sz w:val="28"/>
          <w:szCs w:val="28"/>
        </w:rPr>
        <w:t xml:space="preserve">122,7 % , поступление неналоговых доходов превысили плановые показатели </w:t>
      </w:r>
      <w:r w:rsidR="00D931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11,5</w:t>
      </w:r>
      <w:r w:rsidR="00D931DF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423359">
        <w:rPr>
          <w:rFonts w:ascii="Times New Roman" w:hAnsi="Times New Roman" w:cs="Times New Roman"/>
          <w:sz w:val="28"/>
          <w:szCs w:val="28"/>
        </w:rPr>
        <w:t xml:space="preserve">В структуре доходов неналоговые поступления составили </w:t>
      </w:r>
      <w:r>
        <w:rPr>
          <w:rFonts w:ascii="Times New Roman" w:hAnsi="Times New Roman" w:cs="Times New Roman"/>
          <w:sz w:val="28"/>
          <w:szCs w:val="28"/>
        </w:rPr>
        <w:t>3,3</w:t>
      </w:r>
      <w:r w:rsidR="00423359">
        <w:rPr>
          <w:rFonts w:ascii="Times New Roman" w:hAnsi="Times New Roman" w:cs="Times New Roman"/>
          <w:sz w:val="28"/>
          <w:szCs w:val="28"/>
        </w:rPr>
        <w:t xml:space="preserve"> %</w:t>
      </w:r>
      <w:r w:rsidR="00463A58">
        <w:rPr>
          <w:rFonts w:ascii="Times New Roman" w:hAnsi="Times New Roman" w:cs="Times New Roman"/>
          <w:sz w:val="28"/>
          <w:szCs w:val="28"/>
        </w:rPr>
        <w:t xml:space="preserve"> </w:t>
      </w:r>
      <w:r w:rsidR="00463A58" w:rsidRPr="0080566D">
        <w:rPr>
          <w:rFonts w:ascii="Times New Roman" w:hAnsi="Times New Roman" w:cs="Times New Roman"/>
          <w:sz w:val="28"/>
          <w:szCs w:val="28"/>
        </w:rPr>
        <w:t>(</w:t>
      </w:r>
      <w:r w:rsidRPr="0080566D">
        <w:rPr>
          <w:rFonts w:ascii="Times New Roman" w:hAnsi="Times New Roman" w:cs="Times New Roman"/>
          <w:sz w:val="28"/>
          <w:szCs w:val="28"/>
        </w:rPr>
        <w:t>в 2014</w:t>
      </w:r>
      <w:r w:rsidR="00463A58" w:rsidRPr="0080566D">
        <w:rPr>
          <w:rFonts w:ascii="Times New Roman" w:hAnsi="Times New Roman" w:cs="Times New Roman"/>
          <w:sz w:val="28"/>
          <w:szCs w:val="28"/>
        </w:rPr>
        <w:t xml:space="preserve"> го</w:t>
      </w:r>
      <w:r w:rsidR="007E2AD2" w:rsidRPr="0080566D">
        <w:rPr>
          <w:rFonts w:ascii="Times New Roman" w:hAnsi="Times New Roman" w:cs="Times New Roman"/>
          <w:sz w:val="28"/>
          <w:szCs w:val="28"/>
        </w:rPr>
        <w:t>ду этот показатель составлял 2,5 %).</w:t>
      </w:r>
      <w:r w:rsidR="00463A58" w:rsidRPr="0080566D">
        <w:rPr>
          <w:rFonts w:ascii="Times New Roman" w:hAnsi="Times New Roman" w:cs="Times New Roman"/>
          <w:sz w:val="28"/>
          <w:szCs w:val="28"/>
        </w:rPr>
        <w:t xml:space="preserve"> </w:t>
      </w:r>
      <w:r w:rsidR="007E2AD2" w:rsidRPr="0080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D0" w:rsidRDefault="00D931DF" w:rsidP="007E6D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3359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структуре доходов занимают наибольший объем </w:t>
      </w:r>
      <w:r w:rsidR="007E2AD2">
        <w:rPr>
          <w:rFonts w:ascii="Times New Roman" w:hAnsi="Times New Roman" w:cs="Times New Roman"/>
          <w:sz w:val="28"/>
          <w:szCs w:val="28"/>
        </w:rPr>
        <w:t>72,2</w:t>
      </w:r>
      <w:r w:rsidR="004040F6">
        <w:rPr>
          <w:rFonts w:ascii="Times New Roman" w:hAnsi="Times New Roman" w:cs="Times New Roman"/>
          <w:sz w:val="28"/>
          <w:szCs w:val="28"/>
        </w:rPr>
        <w:t xml:space="preserve"> % </w:t>
      </w:r>
      <w:r w:rsidR="007E2AD2">
        <w:rPr>
          <w:rFonts w:ascii="Times New Roman" w:hAnsi="Times New Roman" w:cs="Times New Roman"/>
          <w:sz w:val="28"/>
          <w:szCs w:val="28"/>
        </w:rPr>
        <w:t>и составляют</w:t>
      </w:r>
      <w:r w:rsidR="00423359">
        <w:rPr>
          <w:rFonts w:ascii="Times New Roman" w:hAnsi="Times New Roman" w:cs="Times New Roman"/>
          <w:sz w:val="28"/>
          <w:szCs w:val="28"/>
        </w:rPr>
        <w:t xml:space="preserve"> </w:t>
      </w:r>
      <w:r w:rsidR="007E2AD2">
        <w:rPr>
          <w:rFonts w:ascii="Times New Roman" w:hAnsi="Times New Roman" w:cs="Times New Roman"/>
          <w:sz w:val="28"/>
          <w:szCs w:val="28"/>
        </w:rPr>
        <w:t xml:space="preserve"> 1344,3</w:t>
      </w:r>
      <w:r w:rsidR="00CC4BD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040F6">
        <w:rPr>
          <w:rFonts w:ascii="Times New Roman" w:hAnsi="Times New Roman" w:cs="Times New Roman"/>
          <w:sz w:val="28"/>
          <w:szCs w:val="28"/>
        </w:rPr>
        <w:t>, (в 201</w:t>
      </w:r>
      <w:r w:rsidR="007E2AD2">
        <w:rPr>
          <w:rFonts w:ascii="Times New Roman" w:hAnsi="Times New Roman" w:cs="Times New Roman"/>
          <w:sz w:val="28"/>
          <w:szCs w:val="28"/>
        </w:rPr>
        <w:t>4</w:t>
      </w:r>
      <w:r w:rsidR="004040F6">
        <w:rPr>
          <w:rFonts w:ascii="Times New Roman" w:hAnsi="Times New Roman" w:cs="Times New Roman"/>
          <w:sz w:val="28"/>
          <w:szCs w:val="28"/>
        </w:rPr>
        <w:t xml:space="preserve"> году безвозмездные поступл</w:t>
      </w:r>
      <w:r w:rsidR="007E2AD2">
        <w:rPr>
          <w:rFonts w:ascii="Times New Roman" w:hAnsi="Times New Roman" w:cs="Times New Roman"/>
          <w:sz w:val="28"/>
          <w:szCs w:val="28"/>
        </w:rPr>
        <w:t>ения составляли в структуре 76,7</w:t>
      </w:r>
      <w:r w:rsidR="004040F6">
        <w:rPr>
          <w:rFonts w:ascii="Times New Roman" w:hAnsi="Times New Roman" w:cs="Times New Roman"/>
          <w:sz w:val="28"/>
          <w:szCs w:val="28"/>
        </w:rPr>
        <w:t xml:space="preserve"> %</w:t>
      </w:r>
      <w:r w:rsidR="007A3E39">
        <w:rPr>
          <w:rFonts w:ascii="Times New Roman" w:hAnsi="Times New Roman" w:cs="Times New Roman"/>
          <w:sz w:val="28"/>
          <w:szCs w:val="28"/>
        </w:rPr>
        <w:t>)</w:t>
      </w:r>
      <w:r w:rsidR="007E2AD2">
        <w:rPr>
          <w:rFonts w:ascii="Times New Roman" w:hAnsi="Times New Roman" w:cs="Times New Roman"/>
          <w:sz w:val="28"/>
          <w:szCs w:val="28"/>
        </w:rPr>
        <w:t xml:space="preserve">. </w:t>
      </w:r>
      <w:r w:rsidR="004040F6">
        <w:rPr>
          <w:rFonts w:ascii="Times New Roman" w:hAnsi="Times New Roman" w:cs="Times New Roman"/>
          <w:sz w:val="28"/>
          <w:szCs w:val="28"/>
        </w:rPr>
        <w:t xml:space="preserve"> </w:t>
      </w:r>
      <w:r w:rsidR="007E2AD2">
        <w:rPr>
          <w:rFonts w:ascii="Times New Roman" w:hAnsi="Times New Roman" w:cs="Times New Roman"/>
          <w:sz w:val="28"/>
          <w:szCs w:val="28"/>
        </w:rPr>
        <w:t>Наблюдается значительное снижение – на 270,8 млн.</w:t>
      </w:r>
      <w:r w:rsidR="00AB6A2A">
        <w:rPr>
          <w:rFonts w:ascii="Times New Roman" w:hAnsi="Times New Roman" w:cs="Times New Roman"/>
          <w:sz w:val="28"/>
          <w:szCs w:val="28"/>
        </w:rPr>
        <w:t xml:space="preserve"> </w:t>
      </w:r>
      <w:r w:rsidR="007E2AD2">
        <w:rPr>
          <w:rFonts w:ascii="Times New Roman" w:hAnsi="Times New Roman" w:cs="Times New Roman"/>
          <w:sz w:val="28"/>
          <w:szCs w:val="28"/>
        </w:rPr>
        <w:t>рублей безвозмездных поступлений по сравнению с 2014 годом. Плановые назначения не испо</w:t>
      </w:r>
      <w:r w:rsidR="00AB6A2A">
        <w:rPr>
          <w:rFonts w:ascii="Times New Roman" w:hAnsi="Times New Roman" w:cs="Times New Roman"/>
          <w:sz w:val="28"/>
          <w:szCs w:val="28"/>
        </w:rPr>
        <w:t xml:space="preserve">лнены  в объеме 28,6 млн. рублей. Процент исполнения составил 97,9%.  </w:t>
      </w:r>
    </w:p>
    <w:p w:rsidR="00EE1456" w:rsidRPr="00EE1456" w:rsidRDefault="00EE1456" w:rsidP="00380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56">
        <w:rPr>
          <w:rFonts w:ascii="Times New Roman" w:hAnsi="Times New Roman" w:cs="Times New Roman"/>
          <w:sz w:val="28"/>
          <w:szCs w:val="28"/>
        </w:rPr>
        <w:t xml:space="preserve">Годовые бюджетные назначения по </w:t>
      </w:r>
      <w:r w:rsidR="00E566B6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Pr="00EE1456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CC4BDF">
        <w:rPr>
          <w:rFonts w:ascii="Times New Roman" w:hAnsi="Times New Roman" w:cs="Times New Roman"/>
          <w:sz w:val="28"/>
          <w:szCs w:val="28"/>
        </w:rPr>
        <w:t>исполнены на 98,1</w:t>
      </w:r>
      <w:r w:rsidR="004B1C51">
        <w:rPr>
          <w:rFonts w:ascii="Times New Roman" w:hAnsi="Times New Roman" w:cs="Times New Roman"/>
          <w:sz w:val="28"/>
          <w:szCs w:val="28"/>
        </w:rPr>
        <w:t>%</w:t>
      </w:r>
      <w:r w:rsidR="00540454">
        <w:rPr>
          <w:rFonts w:ascii="Times New Roman" w:hAnsi="Times New Roman" w:cs="Times New Roman"/>
          <w:sz w:val="28"/>
          <w:szCs w:val="28"/>
        </w:rPr>
        <w:t>.</w:t>
      </w:r>
      <w:r w:rsidR="004B1C51">
        <w:rPr>
          <w:rFonts w:ascii="Times New Roman" w:hAnsi="Times New Roman" w:cs="Times New Roman"/>
          <w:sz w:val="28"/>
          <w:szCs w:val="28"/>
        </w:rPr>
        <w:t xml:space="preserve"> </w:t>
      </w:r>
      <w:r w:rsidR="00540454">
        <w:rPr>
          <w:rFonts w:ascii="Times New Roman" w:hAnsi="Times New Roman" w:cs="Times New Roman"/>
          <w:sz w:val="28"/>
          <w:szCs w:val="28"/>
        </w:rPr>
        <w:t>Перевыполнение плановых назначений сложилось по</w:t>
      </w:r>
      <w:r w:rsidR="00CC4BDF">
        <w:rPr>
          <w:rFonts w:ascii="Times New Roman" w:hAnsi="Times New Roman" w:cs="Times New Roman"/>
          <w:sz w:val="28"/>
          <w:szCs w:val="28"/>
        </w:rPr>
        <w:t xml:space="preserve"> транспортному налогу в объеме 8,5</w:t>
      </w:r>
      <w:r w:rsidR="00540454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CC4BDF">
        <w:rPr>
          <w:rFonts w:ascii="Times New Roman" w:hAnsi="Times New Roman" w:cs="Times New Roman"/>
          <w:sz w:val="28"/>
          <w:szCs w:val="28"/>
        </w:rPr>
        <w:t>лей</w:t>
      </w:r>
      <w:r w:rsidR="00540454">
        <w:rPr>
          <w:rFonts w:ascii="Times New Roman" w:hAnsi="Times New Roman" w:cs="Times New Roman"/>
          <w:sz w:val="28"/>
          <w:szCs w:val="28"/>
        </w:rPr>
        <w:t xml:space="preserve">, </w:t>
      </w:r>
      <w:r w:rsidR="005F14D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540454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CC4BDF">
        <w:rPr>
          <w:rFonts w:ascii="Times New Roman" w:hAnsi="Times New Roman" w:cs="Times New Roman"/>
          <w:sz w:val="28"/>
          <w:szCs w:val="28"/>
        </w:rPr>
        <w:t>налогов, взимаемых  в связи с применением патентной системы на 100,2 тыс. рублей.</w:t>
      </w:r>
    </w:p>
    <w:p w:rsidR="003801D6" w:rsidRDefault="00EE1456" w:rsidP="00380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56">
        <w:rPr>
          <w:rFonts w:ascii="Times New Roman" w:hAnsi="Times New Roman" w:cs="Times New Roman"/>
          <w:sz w:val="28"/>
          <w:szCs w:val="28"/>
        </w:rPr>
        <w:t xml:space="preserve">В разрезе доходных источников годовые бюджетные назначения не исполнены: </w:t>
      </w:r>
    </w:p>
    <w:p w:rsidR="005F14DC" w:rsidRPr="005F14DC" w:rsidRDefault="0080566D" w:rsidP="005F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E1456" w:rsidRPr="0080566D">
        <w:rPr>
          <w:rFonts w:ascii="Times New Roman" w:hAnsi="Times New Roman" w:cs="Times New Roman"/>
          <w:sz w:val="28"/>
          <w:szCs w:val="28"/>
        </w:rPr>
        <w:t>по налогу на доходы физических лиц</w:t>
      </w:r>
      <w:r w:rsidR="00EE1456" w:rsidRPr="003075F6">
        <w:rPr>
          <w:rFonts w:ascii="Times New Roman" w:hAnsi="Times New Roman" w:cs="Times New Roman"/>
          <w:sz w:val="28"/>
          <w:szCs w:val="28"/>
        </w:rPr>
        <w:t xml:space="preserve"> </w:t>
      </w:r>
      <w:r w:rsid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14DC" w:rsidRP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</w:t>
      </w:r>
      <w:r w:rsid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DC" w:rsidRP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составили 3</w:t>
      </w:r>
      <w:r w:rsid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>41,2 млн</w:t>
      </w:r>
      <w:r w:rsidR="005F14DC" w:rsidRP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исполнение составило 95,8 % к уточненному годовому плану, первоначально утвержденный план в течение года не корректировался. В сравнении с 2014 годом поступления налога на доходы физических лиц в 2015 году увеличились на 8</w:t>
      </w:r>
      <w:r w:rsid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>,8 млн</w:t>
      </w:r>
      <w:r w:rsidR="005F14DC" w:rsidRP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или на 2,6  %.</w:t>
      </w:r>
    </w:p>
    <w:p w:rsidR="00CC4BDF" w:rsidRPr="00CC4BDF" w:rsidRDefault="00CC4BDF" w:rsidP="005F14D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причинами неисполнения годового плана в 2015 году по налогу на доходы физических лиц</w:t>
      </w:r>
      <w:r w:rsidRPr="00CC4BD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C4BD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явились: невыполнения налоговыми агентами (13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</w:t>
      </w:r>
      <w:proofErr w:type="gramStart"/>
      <w:r w:rsid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B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4B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ублей) и индивидуальными предпринимателями (1</w:t>
      </w:r>
      <w:r w:rsid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,4 млн</w:t>
      </w:r>
      <w:r w:rsidRPr="00CC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.рублей) своих обязательств по погашению задолженности по  налогу в бюджет, а также увеличение суммы налога, подлежащей возврату из </w:t>
      </w:r>
      <w:r w:rsid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декларациям ( 346,7</w:t>
      </w:r>
      <w:r w:rsidRPr="00CC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тыс.рублей).</w:t>
      </w:r>
    </w:p>
    <w:p w:rsidR="00FE0497" w:rsidRPr="00FE0497" w:rsidRDefault="0080566D" w:rsidP="00A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6D">
        <w:rPr>
          <w:rFonts w:ascii="Times New Roman" w:hAnsi="Times New Roman" w:cs="Times New Roman"/>
          <w:sz w:val="28"/>
          <w:szCs w:val="28"/>
        </w:rPr>
        <w:t xml:space="preserve">- </w:t>
      </w:r>
      <w:r w:rsidR="00EE1456" w:rsidRPr="0080566D">
        <w:rPr>
          <w:rFonts w:ascii="Times New Roman" w:hAnsi="Times New Roman" w:cs="Times New Roman"/>
          <w:sz w:val="28"/>
          <w:szCs w:val="28"/>
        </w:rPr>
        <w:t>по единому налогу на вмененный доход</w:t>
      </w:r>
      <w:r w:rsidR="00B34ED6">
        <w:rPr>
          <w:rFonts w:ascii="Times New Roman" w:hAnsi="Times New Roman" w:cs="Times New Roman"/>
          <w:sz w:val="28"/>
          <w:szCs w:val="28"/>
        </w:rPr>
        <w:t xml:space="preserve"> не исполнены бюджетные назначения</w:t>
      </w:r>
      <w:r w:rsidR="00EE1456" w:rsidRPr="00EE145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FE0497">
        <w:rPr>
          <w:rFonts w:ascii="Times New Roman" w:hAnsi="Times New Roman" w:cs="Times New Roman"/>
          <w:sz w:val="28"/>
          <w:szCs w:val="28"/>
        </w:rPr>
        <w:t>567</w:t>
      </w:r>
      <w:r w:rsidR="00EE1456" w:rsidRPr="00EE1456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B34ED6">
        <w:rPr>
          <w:rFonts w:ascii="Times New Roman" w:hAnsi="Times New Roman" w:cs="Times New Roman"/>
          <w:sz w:val="28"/>
          <w:szCs w:val="28"/>
        </w:rPr>
        <w:t>1,</w:t>
      </w:r>
      <w:r w:rsidR="00FE0497">
        <w:rPr>
          <w:rFonts w:ascii="Times New Roman" w:hAnsi="Times New Roman" w:cs="Times New Roman"/>
          <w:sz w:val="28"/>
          <w:szCs w:val="28"/>
        </w:rPr>
        <w:t>2</w:t>
      </w:r>
      <w:r w:rsidR="00EE1456" w:rsidRPr="00EE1456">
        <w:rPr>
          <w:rFonts w:ascii="Times New Roman" w:hAnsi="Times New Roman" w:cs="Times New Roman"/>
          <w:sz w:val="28"/>
          <w:szCs w:val="28"/>
        </w:rPr>
        <w:t xml:space="preserve"> %),</w:t>
      </w:r>
      <w:r w:rsidR="003801D6">
        <w:rPr>
          <w:rFonts w:ascii="Times New Roman" w:hAnsi="Times New Roman" w:cs="Times New Roman"/>
          <w:sz w:val="28"/>
          <w:szCs w:val="28"/>
        </w:rPr>
        <w:t xml:space="preserve"> что обусловлено </w:t>
      </w:r>
      <w:r w:rsidR="00FE0497" w:rsidRP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несвоевременной уплатой налогоплательщиками текущих платежей. Задолженность по ЕНВД в бюд</w:t>
      </w:r>
      <w:r w:rsid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увеличилась на 1 млн.</w:t>
      </w:r>
      <w:r w:rsidR="00FE0497" w:rsidRP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составил</w:t>
      </w:r>
      <w:r w:rsid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1 января 2016 года 4 млн</w:t>
      </w:r>
      <w:r w:rsidR="00FE0497" w:rsidRPr="00FE0497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D35E03" w:rsidRDefault="0080566D" w:rsidP="00D35E0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35E03"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государственной пошлины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исполнены на 1,7 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млн</w:t>
      </w:r>
      <w:proofErr w:type="gramStart"/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9</w:t>
      </w:r>
      <w:r w:rsid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>, 3 млн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или 84,5 % к годовому  утвержденному плану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записке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неисполнение годового плана связано с завышением прогнозного объема поступлений в 2015 году, который был рассчитан исходя из ожидаемого поступления в 2014 году.</w:t>
      </w:r>
    </w:p>
    <w:p w:rsidR="00D35E03" w:rsidRDefault="005F14DC" w:rsidP="00D35E03">
      <w:pPr>
        <w:widowControl w:val="0"/>
        <w:suppressAutoHyphens/>
        <w:adjustRightInd w:val="0"/>
        <w:spacing w:after="0" w:line="240" w:lineRule="auto"/>
        <w:ind w:right="-7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5E03"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 525 тыс</w:t>
      </w:r>
      <w:proofErr w:type="gramStart"/>
      <w:r w:rsidR="00D35E03"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35E03"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исполнены</w:t>
      </w:r>
      <w:r w:rsidR="00D35E03"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акцизов на нефтепродукты. 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виду доходов составило 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88,2% (в сравнении с 2014 годом поступления снизились на 125,677 тыс</w:t>
      </w:r>
      <w:proofErr w:type="gramStart"/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или на 3,1 %). 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еисполнение плана поступлений 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03" w:rsidRPr="00D3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сокращением объемов реализованной подакцизной продукции.</w:t>
      </w:r>
    </w:p>
    <w:p w:rsidR="00423359" w:rsidRPr="00423359" w:rsidRDefault="00BD1D97" w:rsidP="0042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01EC">
        <w:rPr>
          <w:rFonts w:ascii="Times New Roman" w:hAnsi="Times New Roman" w:cs="Times New Roman"/>
          <w:sz w:val="28"/>
          <w:szCs w:val="28"/>
        </w:rPr>
        <w:t>одовой план посту</w:t>
      </w:r>
      <w:r>
        <w:rPr>
          <w:rFonts w:ascii="Times New Roman" w:hAnsi="Times New Roman" w:cs="Times New Roman"/>
          <w:sz w:val="28"/>
          <w:szCs w:val="28"/>
        </w:rPr>
        <w:t xml:space="preserve">плений по неналоговым доходам </w:t>
      </w:r>
      <w:r w:rsidR="003C01EC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>
        <w:rPr>
          <w:rFonts w:ascii="Times New Roman" w:hAnsi="Times New Roman" w:cs="Times New Roman"/>
          <w:sz w:val="28"/>
          <w:szCs w:val="28"/>
        </w:rPr>
        <w:t>122,7%. Превышение планового показателя по данному виду дохода составило 11,5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AF5D2C" w:rsidRPr="001F0015" w:rsidRDefault="00AF5D2C" w:rsidP="00AF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15">
        <w:rPr>
          <w:rFonts w:ascii="Times New Roman" w:hAnsi="Times New Roman" w:cs="Times New Roman"/>
          <w:sz w:val="28"/>
          <w:szCs w:val="28"/>
        </w:rPr>
        <w:t>Из десяти источников неналоговых доходов плановые н</w:t>
      </w:r>
      <w:r w:rsidR="001F0015" w:rsidRPr="001F0015">
        <w:rPr>
          <w:rFonts w:ascii="Times New Roman" w:hAnsi="Times New Roman" w:cs="Times New Roman"/>
          <w:sz w:val="28"/>
          <w:szCs w:val="28"/>
        </w:rPr>
        <w:t>азначения превышены по семи</w:t>
      </w:r>
      <w:r w:rsidR="00BD1D97" w:rsidRPr="001F0015">
        <w:rPr>
          <w:rFonts w:ascii="Times New Roman" w:hAnsi="Times New Roman" w:cs="Times New Roman"/>
          <w:sz w:val="28"/>
          <w:szCs w:val="28"/>
        </w:rPr>
        <w:t xml:space="preserve"> </w:t>
      </w:r>
      <w:r w:rsidR="001F0015" w:rsidRPr="001F0015">
        <w:rPr>
          <w:rFonts w:ascii="Times New Roman" w:hAnsi="Times New Roman" w:cs="Times New Roman"/>
          <w:sz w:val="28"/>
          <w:szCs w:val="28"/>
        </w:rPr>
        <w:t xml:space="preserve"> источникам,  </w:t>
      </w:r>
      <w:r w:rsidR="00BD1D97" w:rsidRPr="001F001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F0015" w:rsidRPr="001F0015" w:rsidRDefault="001F0015" w:rsidP="00AF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15">
        <w:rPr>
          <w:rFonts w:ascii="Times New Roman" w:hAnsi="Times New Roman" w:cs="Times New Roman"/>
          <w:sz w:val="28"/>
          <w:szCs w:val="28"/>
        </w:rPr>
        <w:t xml:space="preserve"> Доходы от реализации имущества – на 10,1 млн.рублей;</w:t>
      </w:r>
    </w:p>
    <w:p w:rsidR="001F0015" w:rsidRPr="001F0015" w:rsidRDefault="001F0015" w:rsidP="00AF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15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компенсаций затрат государства – на 1,3 млн.рублей;</w:t>
      </w:r>
    </w:p>
    <w:p w:rsidR="001F0015" w:rsidRPr="001F0015" w:rsidRDefault="001F0015" w:rsidP="00AF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15">
        <w:rPr>
          <w:rFonts w:ascii="Times New Roman" w:hAnsi="Times New Roman" w:cs="Times New Roman"/>
          <w:sz w:val="28"/>
          <w:szCs w:val="28"/>
        </w:rPr>
        <w:t>Штрафы, санкции и возмещение ущерба – на 2,8 млн.рублей;</w:t>
      </w:r>
    </w:p>
    <w:p w:rsidR="001F0015" w:rsidRPr="001F0015" w:rsidRDefault="001F0015" w:rsidP="00AF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15">
        <w:rPr>
          <w:rFonts w:ascii="Times New Roman" w:hAnsi="Times New Roman" w:cs="Times New Roman"/>
          <w:sz w:val="28"/>
          <w:szCs w:val="28"/>
        </w:rPr>
        <w:t>Прочие доходы от использования имущества – на 624 тыс.рублей.</w:t>
      </w:r>
    </w:p>
    <w:p w:rsidR="00AF5D2C" w:rsidRPr="00A33435" w:rsidRDefault="00AF5D2C" w:rsidP="00AF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35">
        <w:rPr>
          <w:rFonts w:ascii="Times New Roman" w:hAnsi="Times New Roman" w:cs="Times New Roman"/>
          <w:sz w:val="28"/>
          <w:szCs w:val="28"/>
        </w:rPr>
        <w:t>Годовой план не исполнен:</w:t>
      </w:r>
    </w:p>
    <w:p w:rsidR="00AF5D2C" w:rsidRPr="00AF5D2C" w:rsidRDefault="00AF5D2C" w:rsidP="00AF5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66D">
        <w:rPr>
          <w:rFonts w:ascii="Times New Roman" w:hAnsi="Times New Roman" w:cs="Times New Roman"/>
          <w:sz w:val="28"/>
          <w:szCs w:val="28"/>
        </w:rPr>
        <w:t xml:space="preserve">1) по доходам, получаемым в виде арендной платы за земельные участки, а также средствам от продажи права на заключение договоров аренды, </w:t>
      </w:r>
      <w:r w:rsidR="005F14DC" w:rsidRPr="0080566D">
        <w:rPr>
          <w:rFonts w:ascii="Times New Roman" w:hAnsi="Times New Roman" w:cs="Times New Roman"/>
          <w:sz w:val="28"/>
          <w:szCs w:val="28"/>
        </w:rPr>
        <w:t>занимающим в</w:t>
      </w:r>
      <w:r w:rsidRPr="0080566D">
        <w:rPr>
          <w:rFonts w:ascii="Times New Roman" w:hAnsi="Times New Roman" w:cs="Times New Roman"/>
          <w:sz w:val="28"/>
          <w:szCs w:val="28"/>
        </w:rPr>
        <w:t xml:space="preserve"> структуре неналогов</w:t>
      </w:r>
      <w:r w:rsidR="001F0015" w:rsidRPr="0080566D">
        <w:rPr>
          <w:rFonts w:ascii="Times New Roman" w:hAnsi="Times New Roman" w:cs="Times New Roman"/>
          <w:sz w:val="28"/>
          <w:szCs w:val="28"/>
        </w:rPr>
        <w:t>ых доходов наибольший вес – 41</w:t>
      </w:r>
      <w:r w:rsidRPr="00AF5D2C">
        <w:rPr>
          <w:rFonts w:ascii="Times New Roman" w:hAnsi="Times New Roman" w:cs="Times New Roman"/>
          <w:sz w:val="28"/>
          <w:szCs w:val="28"/>
        </w:rPr>
        <w:t xml:space="preserve"> %, плановые назначения </w:t>
      </w:r>
      <w:r w:rsidR="001F0015">
        <w:rPr>
          <w:rFonts w:ascii="Times New Roman" w:hAnsi="Times New Roman" w:cs="Times New Roman"/>
          <w:sz w:val="28"/>
          <w:szCs w:val="28"/>
          <w:u w:val="single"/>
        </w:rPr>
        <w:t>не исполнены на сумму  2,9</w:t>
      </w:r>
      <w:r w:rsidR="00A02CEA">
        <w:rPr>
          <w:rFonts w:ascii="Times New Roman" w:hAnsi="Times New Roman" w:cs="Times New Roman"/>
          <w:sz w:val="28"/>
          <w:szCs w:val="28"/>
          <w:u w:val="single"/>
        </w:rPr>
        <w:t xml:space="preserve"> млн.</w:t>
      </w:r>
      <w:r w:rsidRPr="00AF5D2C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AF5D2C">
        <w:rPr>
          <w:rFonts w:ascii="Times New Roman" w:hAnsi="Times New Roman" w:cs="Times New Roman"/>
          <w:sz w:val="28"/>
          <w:szCs w:val="28"/>
        </w:rPr>
        <w:t xml:space="preserve"> или </w:t>
      </w:r>
      <w:r w:rsidR="001F0015">
        <w:rPr>
          <w:rFonts w:ascii="Times New Roman" w:hAnsi="Times New Roman" w:cs="Times New Roman"/>
          <w:sz w:val="28"/>
          <w:szCs w:val="28"/>
        </w:rPr>
        <w:t>на 10,3 %. В сравнении с 2014</w:t>
      </w:r>
      <w:r w:rsidRPr="00AF5D2C">
        <w:rPr>
          <w:rFonts w:ascii="Times New Roman" w:hAnsi="Times New Roman" w:cs="Times New Roman"/>
          <w:sz w:val="28"/>
          <w:szCs w:val="28"/>
        </w:rPr>
        <w:t xml:space="preserve"> годом поступления по данно</w:t>
      </w:r>
      <w:r w:rsidR="001F0015">
        <w:rPr>
          <w:rFonts w:ascii="Times New Roman" w:hAnsi="Times New Roman" w:cs="Times New Roman"/>
          <w:sz w:val="28"/>
          <w:szCs w:val="28"/>
        </w:rPr>
        <w:t>му доходному источнику увеличились на 2,4</w:t>
      </w:r>
      <w:r w:rsidR="005244D3">
        <w:rPr>
          <w:rFonts w:ascii="Times New Roman" w:hAnsi="Times New Roman" w:cs="Times New Roman"/>
          <w:sz w:val="28"/>
          <w:szCs w:val="28"/>
        </w:rPr>
        <w:t xml:space="preserve"> %, или на 617</w:t>
      </w:r>
      <w:r w:rsidRPr="00AF5D2C">
        <w:rPr>
          <w:rFonts w:ascii="Times New Roman" w:hAnsi="Times New Roman" w:cs="Times New Roman"/>
          <w:sz w:val="28"/>
          <w:szCs w:val="28"/>
        </w:rPr>
        <w:t xml:space="preserve"> </w:t>
      </w:r>
      <w:r w:rsidR="005244D3">
        <w:rPr>
          <w:rFonts w:ascii="Times New Roman" w:hAnsi="Times New Roman" w:cs="Times New Roman"/>
          <w:sz w:val="28"/>
          <w:szCs w:val="28"/>
        </w:rPr>
        <w:t>тыс</w:t>
      </w:r>
      <w:r w:rsidR="005F14DC">
        <w:rPr>
          <w:rFonts w:ascii="Times New Roman" w:hAnsi="Times New Roman" w:cs="Times New Roman"/>
          <w:sz w:val="28"/>
          <w:szCs w:val="28"/>
        </w:rPr>
        <w:t>. рублей</w:t>
      </w:r>
      <w:r w:rsidRPr="00AF5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244D3" w:rsidRPr="005244D3" w:rsidRDefault="005244D3" w:rsidP="005244D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отчету (ф. по ОКУД 0503164), причиной неисполнения плановых назначений является передача полномочий по администрированию доходов на уровень поселений, уменьшение арендной платы по договорам аренды земельных участков в связи с изменением кадастровой стоимости земельных участков, несвоевременная оплата арендаторами текущих платежей и наличие дебиторской задолженности по состоянию на 01.01.2016 года в сумме 15</w:t>
      </w:r>
      <w:r w:rsidR="00D4044A">
        <w:rPr>
          <w:rFonts w:ascii="Times New Roman" w:eastAsia="Times New Roman" w:hAnsi="Times New Roman" w:cs="Times New Roman"/>
          <w:sz w:val="28"/>
          <w:szCs w:val="28"/>
          <w:lang w:eastAsia="ru-RU"/>
        </w:rPr>
        <w:t>,06 млн</w:t>
      </w: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 Так же   одной из причин неисполнения рассматриваемой доходной части бюджета является наличие задолженности по арендной плате за муниципальными унитарными предприятиями «САХ» и «Водоканал» в сумме 55,024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4D3" w:rsidRPr="005244D3" w:rsidRDefault="005244D3" w:rsidP="00A3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6D">
        <w:rPr>
          <w:rFonts w:ascii="Times New Roman" w:hAnsi="Times New Roman" w:cs="Times New Roman"/>
          <w:sz w:val="28"/>
          <w:szCs w:val="28"/>
        </w:rPr>
        <w:t>2</w:t>
      </w:r>
      <w:r w:rsidR="00AF5D2C" w:rsidRPr="0080566D">
        <w:rPr>
          <w:rFonts w:ascii="Times New Roman" w:hAnsi="Times New Roman" w:cs="Times New Roman"/>
          <w:sz w:val="28"/>
          <w:szCs w:val="28"/>
        </w:rPr>
        <w:t>) по поступлениям платы за негативное воздействие на окружающую среду</w:t>
      </w:r>
      <w:r w:rsidR="00AF5D2C" w:rsidRPr="00AF5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D2C" w:rsidRPr="0080566D">
        <w:rPr>
          <w:rFonts w:ascii="Times New Roman" w:hAnsi="Times New Roman" w:cs="Times New Roman"/>
          <w:sz w:val="28"/>
          <w:szCs w:val="28"/>
        </w:rPr>
        <w:t>не</w:t>
      </w:r>
      <w:r w:rsidRPr="0080566D">
        <w:rPr>
          <w:rFonts w:ascii="Times New Roman" w:hAnsi="Times New Roman" w:cs="Times New Roman"/>
          <w:sz w:val="28"/>
          <w:szCs w:val="28"/>
        </w:rPr>
        <w:t xml:space="preserve"> исполнен годовой план в сумме 796</w:t>
      </w:r>
      <w:r w:rsidR="00AF5D2C" w:rsidRPr="0080566D">
        <w:rPr>
          <w:rFonts w:ascii="Times New Roman" w:hAnsi="Times New Roman" w:cs="Times New Roman"/>
          <w:sz w:val="28"/>
          <w:szCs w:val="28"/>
        </w:rPr>
        <w:t xml:space="preserve"> </w:t>
      </w:r>
      <w:r w:rsidRPr="0080566D">
        <w:rPr>
          <w:rFonts w:ascii="Times New Roman" w:hAnsi="Times New Roman" w:cs="Times New Roman"/>
          <w:sz w:val="28"/>
          <w:szCs w:val="28"/>
        </w:rPr>
        <w:t>тыс</w:t>
      </w:r>
      <w:r w:rsidR="00A14563" w:rsidRPr="0080566D">
        <w:rPr>
          <w:rFonts w:ascii="Times New Roman" w:hAnsi="Times New Roman" w:cs="Times New Roman"/>
          <w:sz w:val="28"/>
          <w:szCs w:val="28"/>
        </w:rPr>
        <w:t>.</w:t>
      </w:r>
      <w:r w:rsidR="00AF5D2C" w:rsidRPr="0080566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5D2C" w:rsidRPr="00AF5D2C">
        <w:rPr>
          <w:rFonts w:ascii="Times New Roman" w:hAnsi="Times New Roman" w:cs="Times New Roman"/>
          <w:sz w:val="28"/>
          <w:szCs w:val="28"/>
        </w:rPr>
        <w:t xml:space="preserve"> </w:t>
      </w:r>
      <w:r w:rsidR="00A14563">
        <w:rPr>
          <w:rFonts w:ascii="Times New Roman" w:hAnsi="Times New Roman" w:cs="Times New Roman"/>
          <w:sz w:val="28"/>
          <w:szCs w:val="28"/>
        </w:rPr>
        <w:t>и</w:t>
      </w:r>
      <w:r w:rsidR="00AF5D2C" w:rsidRPr="00AF5D2C">
        <w:rPr>
          <w:rFonts w:ascii="Times New Roman" w:hAnsi="Times New Roman" w:cs="Times New Roman"/>
          <w:sz w:val="28"/>
          <w:szCs w:val="28"/>
        </w:rPr>
        <w:t>ли</w:t>
      </w:r>
      <w:r w:rsidR="00A14563">
        <w:rPr>
          <w:rFonts w:ascii="Times New Roman" w:hAnsi="Times New Roman" w:cs="Times New Roman"/>
          <w:sz w:val="28"/>
          <w:szCs w:val="28"/>
        </w:rPr>
        <w:t xml:space="preserve"> на</w:t>
      </w:r>
      <w:r w:rsidR="00AF5D2C" w:rsidRPr="00AF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24,8</w:t>
      </w:r>
      <w:r w:rsidR="00AF5D2C" w:rsidRPr="00AF5D2C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причина неисполнения плановых назначений</w:t>
      </w:r>
      <w:r w:rsidR="005F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DC"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данным Управления Федеральной службы по надзору в сфере природопользования по Пермскому краю)</w:t>
      </w: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сокращение количества размещаемых отходов </w:t>
      </w: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 и </w:t>
      </w:r>
      <w:r w:rsidR="00B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сравнении с 2014 годом поступления по данному доходному источнику снизились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</w:t>
      </w: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на 11,9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AF5D2C" w:rsidRDefault="005244D3" w:rsidP="00A3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6D">
        <w:rPr>
          <w:rFonts w:ascii="Times New Roman" w:hAnsi="Times New Roman" w:cs="Times New Roman"/>
          <w:sz w:val="28"/>
          <w:szCs w:val="28"/>
        </w:rPr>
        <w:t>3</w:t>
      </w:r>
      <w:r w:rsidR="00AF5D2C" w:rsidRPr="0080566D">
        <w:rPr>
          <w:rFonts w:ascii="Times New Roman" w:hAnsi="Times New Roman" w:cs="Times New Roman"/>
          <w:sz w:val="28"/>
          <w:szCs w:val="28"/>
        </w:rPr>
        <w:t xml:space="preserve">) по доходам от продажи земельных участков плановые назначения </w:t>
      </w:r>
      <w:r w:rsidRPr="0080566D">
        <w:rPr>
          <w:rFonts w:ascii="Times New Roman" w:hAnsi="Times New Roman" w:cs="Times New Roman"/>
          <w:sz w:val="28"/>
          <w:szCs w:val="28"/>
        </w:rPr>
        <w:t>не исполнены на сумму  337</w:t>
      </w:r>
      <w:r w:rsidR="00AF5D2C" w:rsidRPr="008056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5D2C" w:rsidRPr="00AF5D2C">
        <w:rPr>
          <w:rFonts w:ascii="Times New Roman" w:hAnsi="Times New Roman" w:cs="Times New Roman"/>
          <w:sz w:val="28"/>
          <w:szCs w:val="28"/>
        </w:rPr>
        <w:t xml:space="preserve"> или</w:t>
      </w:r>
      <w:r w:rsidR="001C3279">
        <w:rPr>
          <w:rFonts w:ascii="Times New Roman" w:hAnsi="Times New Roman" w:cs="Times New Roman"/>
          <w:sz w:val="28"/>
          <w:szCs w:val="28"/>
        </w:rPr>
        <w:t xml:space="preserve"> на</w:t>
      </w:r>
      <w:r w:rsidR="00AF5D2C" w:rsidRPr="00AF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11,9</w:t>
      </w:r>
      <w:r w:rsidR="00AF5D2C" w:rsidRPr="00AF5D2C">
        <w:rPr>
          <w:rFonts w:ascii="Times New Roman" w:hAnsi="Times New Roman" w:cs="Times New Roman"/>
          <w:sz w:val="28"/>
          <w:szCs w:val="28"/>
        </w:rPr>
        <w:t xml:space="preserve"> %. В сравнении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5D2C" w:rsidRPr="00AF5D2C">
        <w:rPr>
          <w:rFonts w:ascii="Times New Roman" w:hAnsi="Times New Roman" w:cs="Times New Roman"/>
          <w:sz w:val="28"/>
          <w:szCs w:val="28"/>
        </w:rPr>
        <w:t xml:space="preserve"> годом поступления по данному доходному источнику сн</w:t>
      </w:r>
      <w:r>
        <w:rPr>
          <w:rFonts w:ascii="Times New Roman" w:hAnsi="Times New Roman" w:cs="Times New Roman"/>
          <w:sz w:val="28"/>
          <w:szCs w:val="28"/>
        </w:rPr>
        <w:t>изились на 31 %, или на 1,1 млн</w:t>
      </w:r>
      <w:r w:rsidR="00AF5D2C" w:rsidRPr="00AF5D2C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5244D3" w:rsidRPr="005244D3" w:rsidRDefault="005244D3" w:rsidP="005244D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ричинами неисполнения плановых назначений являются: передача полномочий по администрированию доходов на уровень поселений, вступление в силу требований Федерального закона № 44-ФЗ, длительность оформления документации и проведения работ в отношении земельных участков, а так же уменьшения количества обращений граждан по оформлению в собственность земельных участков.</w:t>
      </w:r>
    </w:p>
    <w:p w:rsidR="00423359" w:rsidRPr="00AF5D2C" w:rsidRDefault="00091235" w:rsidP="00AF5D2C">
      <w:pPr>
        <w:tabs>
          <w:tab w:val="left" w:pos="85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2014 году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E14A7">
        <w:rPr>
          <w:rFonts w:ascii="Times New Roman" w:hAnsi="Times New Roman" w:cs="Times New Roman"/>
          <w:sz w:val="28"/>
          <w:szCs w:val="28"/>
        </w:rPr>
        <w:t>юджет Чайковского муниципального района имеет значительный резерв пополнения доходов в виде не взысканной задолженности прошлых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44D3"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задолженности по платежам в бюджет, установлено, что по состоянию на 01.01.2016 дебиторская задолженность составила 61</w:t>
      </w:r>
      <w:r w:rsidR="00D4044A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5244D3"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5244D3"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В сравнении с началом года задолженность увеличилась на 7</w:t>
      </w:r>
      <w:r w:rsidR="00D4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5244D3" w:rsidRP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 на 9,8 %</w:t>
      </w:r>
      <w:r w:rsidR="0052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00" w:rsidRDefault="00AC6000" w:rsidP="00DC0283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000">
        <w:rPr>
          <w:rFonts w:ascii="Times New Roman" w:hAnsi="Times New Roman" w:cs="Times New Roman"/>
          <w:sz w:val="28"/>
          <w:szCs w:val="28"/>
        </w:rPr>
        <w:t>Отрицательная динамика снижения задолженности за отчетный период произошла как по налоговым доходам, зачисляемым в бюджет Чайковского муниципального района, так и неналоговым доходам, что свидетельствует о недостаточной эффективности и результативности работы с плательщиками по своевременности платежей в бюджет.</w:t>
      </w:r>
      <w:r w:rsidRPr="00AC6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000">
        <w:rPr>
          <w:rFonts w:ascii="Times New Roman" w:hAnsi="Times New Roman" w:cs="Times New Roman"/>
          <w:sz w:val="28"/>
          <w:szCs w:val="28"/>
        </w:rPr>
        <w:t>Т</w:t>
      </w:r>
      <w:r w:rsidR="00091235">
        <w:rPr>
          <w:rFonts w:ascii="Times New Roman" w:hAnsi="Times New Roman" w:cs="Times New Roman"/>
          <w:sz w:val="28"/>
          <w:szCs w:val="28"/>
        </w:rPr>
        <w:t>ак, возросла на 19,9</w:t>
      </w:r>
      <w:r w:rsidRPr="00AC6000">
        <w:rPr>
          <w:rFonts w:ascii="Times New Roman" w:hAnsi="Times New Roman" w:cs="Times New Roman"/>
          <w:sz w:val="28"/>
          <w:szCs w:val="28"/>
        </w:rPr>
        <w:t xml:space="preserve"> % задолженность по транспортному налогу </w:t>
      </w:r>
      <w:r w:rsidR="00091235">
        <w:rPr>
          <w:rFonts w:ascii="Times New Roman" w:hAnsi="Times New Roman" w:cs="Times New Roman"/>
          <w:sz w:val="28"/>
          <w:szCs w:val="28"/>
        </w:rPr>
        <w:t>(на 3</w:t>
      </w:r>
      <w:r w:rsidR="00537007">
        <w:rPr>
          <w:rFonts w:ascii="Times New Roman" w:hAnsi="Times New Roman" w:cs="Times New Roman"/>
          <w:sz w:val="28"/>
          <w:szCs w:val="28"/>
        </w:rPr>
        <w:t xml:space="preserve"> млн</w:t>
      </w:r>
      <w:r w:rsidRPr="00AC6000">
        <w:rPr>
          <w:rFonts w:ascii="Times New Roman" w:hAnsi="Times New Roman" w:cs="Times New Roman"/>
          <w:sz w:val="28"/>
          <w:szCs w:val="28"/>
        </w:rPr>
        <w:t>. руб</w:t>
      </w:r>
      <w:r w:rsidR="00091235">
        <w:rPr>
          <w:rFonts w:ascii="Times New Roman" w:hAnsi="Times New Roman" w:cs="Times New Roman"/>
          <w:sz w:val="28"/>
          <w:szCs w:val="28"/>
        </w:rPr>
        <w:t>лей и составила на конец года 18,1</w:t>
      </w:r>
      <w:r w:rsidRPr="00AC6000">
        <w:rPr>
          <w:rFonts w:ascii="Times New Roman" w:hAnsi="Times New Roman" w:cs="Times New Roman"/>
          <w:sz w:val="28"/>
          <w:szCs w:val="28"/>
        </w:rPr>
        <w:t xml:space="preserve"> </w:t>
      </w:r>
      <w:r w:rsidR="00537007">
        <w:rPr>
          <w:rFonts w:ascii="Times New Roman" w:hAnsi="Times New Roman" w:cs="Times New Roman"/>
          <w:sz w:val="28"/>
          <w:szCs w:val="28"/>
        </w:rPr>
        <w:t>млн</w:t>
      </w:r>
      <w:r w:rsidRPr="00AC6000">
        <w:rPr>
          <w:rFonts w:ascii="Times New Roman" w:hAnsi="Times New Roman" w:cs="Times New Roman"/>
          <w:sz w:val="28"/>
          <w:szCs w:val="28"/>
        </w:rPr>
        <w:t>. рублей),</w:t>
      </w:r>
      <w:r w:rsidR="00091235">
        <w:rPr>
          <w:rFonts w:ascii="Times New Roman" w:hAnsi="Times New Roman" w:cs="Times New Roman"/>
          <w:sz w:val="28"/>
          <w:szCs w:val="28"/>
        </w:rPr>
        <w:t xml:space="preserve"> по единому налогу на вмененный доход </w:t>
      </w:r>
      <w:r w:rsidRPr="00AC6000">
        <w:rPr>
          <w:rFonts w:ascii="Times New Roman" w:hAnsi="Times New Roman" w:cs="Times New Roman"/>
          <w:sz w:val="28"/>
          <w:szCs w:val="28"/>
        </w:rPr>
        <w:t xml:space="preserve"> на </w:t>
      </w:r>
      <w:r w:rsidR="00091235">
        <w:rPr>
          <w:rFonts w:ascii="Times New Roman" w:hAnsi="Times New Roman" w:cs="Times New Roman"/>
          <w:sz w:val="28"/>
          <w:szCs w:val="28"/>
        </w:rPr>
        <w:t>32,7 % (на 1 млн</w:t>
      </w:r>
      <w:proofErr w:type="gramStart"/>
      <w:r w:rsidR="000912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1235">
        <w:rPr>
          <w:rFonts w:ascii="Times New Roman" w:hAnsi="Times New Roman" w:cs="Times New Roman"/>
          <w:sz w:val="28"/>
          <w:szCs w:val="28"/>
        </w:rPr>
        <w:t xml:space="preserve">ублей и составила на конец года </w:t>
      </w:r>
      <w:r w:rsidR="00DB2211">
        <w:rPr>
          <w:rFonts w:ascii="Times New Roman" w:hAnsi="Times New Roman" w:cs="Times New Roman"/>
          <w:sz w:val="28"/>
          <w:szCs w:val="28"/>
        </w:rPr>
        <w:t xml:space="preserve">4,1 млн.рублей), по доходам, </w:t>
      </w:r>
      <w:r w:rsidR="00D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получаемым</w:t>
      </w:r>
      <w:r w:rsidR="00DB2211" w:rsidRPr="00D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арендной платы за земельные участки</w:t>
      </w:r>
      <w:r w:rsidR="00DB2211">
        <w:rPr>
          <w:rFonts w:ascii="Times New Roman" w:hAnsi="Times New Roman" w:cs="Times New Roman"/>
          <w:sz w:val="28"/>
          <w:szCs w:val="28"/>
        </w:rPr>
        <w:t xml:space="preserve"> </w:t>
      </w:r>
      <w:r w:rsidR="00091235">
        <w:rPr>
          <w:rFonts w:ascii="Times New Roman" w:hAnsi="Times New Roman" w:cs="Times New Roman"/>
          <w:sz w:val="28"/>
          <w:szCs w:val="28"/>
        </w:rPr>
        <w:t xml:space="preserve">на </w:t>
      </w:r>
      <w:r w:rsidR="00DB2211">
        <w:rPr>
          <w:rFonts w:ascii="Times New Roman" w:hAnsi="Times New Roman" w:cs="Times New Roman"/>
          <w:sz w:val="28"/>
          <w:szCs w:val="28"/>
        </w:rPr>
        <w:t>7,6</w:t>
      </w:r>
      <w:r w:rsidRPr="00AC6000">
        <w:rPr>
          <w:rFonts w:ascii="Times New Roman" w:hAnsi="Times New Roman" w:cs="Times New Roman"/>
          <w:sz w:val="28"/>
          <w:szCs w:val="28"/>
        </w:rPr>
        <w:t xml:space="preserve"> % </w:t>
      </w:r>
      <w:r w:rsidR="00DB2211">
        <w:rPr>
          <w:rFonts w:ascii="Times New Roman" w:hAnsi="Times New Roman" w:cs="Times New Roman"/>
          <w:sz w:val="28"/>
          <w:szCs w:val="28"/>
        </w:rPr>
        <w:t>(на 1 млн.рублей и составила на конец года 15 млн</w:t>
      </w:r>
      <w:proofErr w:type="gramStart"/>
      <w:r w:rsidR="00DB22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2211">
        <w:rPr>
          <w:rFonts w:ascii="Times New Roman" w:hAnsi="Times New Roman" w:cs="Times New Roman"/>
          <w:sz w:val="28"/>
          <w:szCs w:val="28"/>
        </w:rPr>
        <w:t xml:space="preserve">ублей), </w:t>
      </w:r>
      <w:r w:rsidRPr="00AC6000">
        <w:rPr>
          <w:rFonts w:ascii="Times New Roman" w:hAnsi="Times New Roman" w:cs="Times New Roman"/>
          <w:sz w:val="28"/>
          <w:szCs w:val="28"/>
        </w:rPr>
        <w:t>возросла задолженность по доходам о</w:t>
      </w:r>
      <w:r w:rsidR="00DB2211">
        <w:rPr>
          <w:rFonts w:ascii="Times New Roman" w:hAnsi="Times New Roman" w:cs="Times New Roman"/>
          <w:sz w:val="28"/>
          <w:szCs w:val="28"/>
        </w:rPr>
        <w:t>т сдачи в аренду имущества (на 1,6 млн</w:t>
      </w:r>
      <w:r w:rsidRPr="00AC6000">
        <w:rPr>
          <w:rFonts w:ascii="Times New Roman" w:hAnsi="Times New Roman" w:cs="Times New Roman"/>
          <w:sz w:val="28"/>
          <w:szCs w:val="28"/>
        </w:rPr>
        <w:t>. руб</w:t>
      </w:r>
      <w:r w:rsidR="00DB2211">
        <w:rPr>
          <w:rFonts w:ascii="Times New Roman" w:hAnsi="Times New Roman" w:cs="Times New Roman"/>
          <w:sz w:val="28"/>
          <w:szCs w:val="28"/>
        </w:rPr>
        <w:t>лей и составила на конец года 16,2</w:t>
      </w:r>
      <w:r w:rsidRPr="00AC6000">
        <w:rPr>
          <w:rFonts w:ascii="Times New Roman" w:hAnsi="Times New Roman" w:cs="Times New Roman"/>
          <w:sz w:val="28"/>
          <w:szCs w:val="28"/>
        </w:rPr>
        <w:t xml:space="preserve"> </w:t>
      </w:r>
      <w:r w:rsidR="00537007">
        <w:rPr>
          <w:rFonts w:ascii="Times New Roman" w:hAnsi="Times New Roman" w:cs="Times New Roman"/>
          <w:sz w:val="28"/>
          <w:szCs w:val="28"/>
        </w:rPr>
        <w:t>млн</w:t>
      </w:r>
      <w:r w:rsidRPr="00AC6000">
        <w:rPr>
          <w:rFonts w:ascii="Times New Roman" w:hAnsi="Times New Roman" w:cs="Times New Roman"/>
          <w:sz w:val="28"/>
          <w:szCs w:val="28"/>
        </w:rPr>
        <w:t xml:space="preserve">. рублей). </w:t>
      </w:r>
    </w:p>
    <w:p w:rsidR="00B85653" w:rsidRPr="00437131" w:rsidRDefault="00B85653" w:rsidP="004C5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31">
        <w:rPr>
          <w:rFonts w:ascii="Times New Roman" w:hAnsi="Times New Roman" w:cs="Times New Roman"/>
          <w:sz w:val="28"/>
          <w:szCs w:val="28"/>
        </w:rPr>
        <w:t xml:space="preserve">Расходы бюджета профинансированы в объеме </w:t>
      </w:r>
      <w:r w:rsidR="00F97753" w:rsidRPr="00437131">
        <w:rPr>
          <w:rFonts w:ascii="Times New Roman" w:hAnsi="Times New Roman" w:cs="Times New Roman"/>
          <w:sz w:val="28"/>
          <w:szCs w:val="28"/>
        </w:rPr>
        <w:t>1917,5</w:t>
      </w:r>
      <w:r w:rsidRPr="0043713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BF4846" w:rsidRPr="00437131">
        <w:rPr>
          <w:rFonts w:ascii="Times New Roman" w:hAnsi="Times New Roman" w:cs="Times New Roman"/>
          <w:sz w:val="28"/>
          <w:szCs w:val="28"/>
        </w:rPr>
        <w:t>.</w:t>
      </w:r>
      <w:r w:rsidRPr="00437131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97753" w:rsidRPr="00437131">
        <w:rPr>
          <w:rFonts w:ascii="Times New Roman" w:hAnsi="Times New Roman" w:cs="Times New Roman"/>
          <w:sz w:val="28"/>
          <w:szCs w:val="28"/>
        </w:rPr>
        <w:t>97,8</w:t>
      </w:r>
      <w:r w:rsidRPr="00437131">
        <w:rPr>
          <w:rFonts w:ascii="Times New Roman" w:hAnsi="Times New Roman" w:cs="Times New Roman"/>
          <w:sz w:val="28"/>
          <w:szCs w:val="28"/>
        </w:rPr>
        <w:t xml:space="preserve"> % от плановых бюджетных назначений.</w:t>
      </w:r>
    </w:p>
    <w:p w:rsidR="004C5146" w:rsidRPr="0080566D" w:rsidRDefault="00DB2211" w:rsidP="004C5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неисполненных бюджетных ассигнований составил 42,8 млн. рублей, или 2,2 % к годовому плану</w:t>
      </w:r>
      <w:r w:rsidR="00B83539"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Pr="0080566D">
        <w:rPr>
          <w:rFonts w:ascii="Times New Roman" w:hAnsi="Times New Roman" w:cs="Times New Roman"/>
          <w:sz w:val="28"/>
          <w:szCs w:val="28"/>
        </w:rPr>
        <w:t xml:space="preserve"> </w:t>
      </w:r>
      <w:r w:rsidR="00B83539" w:rsidRPr="0080566D">
        <w:rPr>
          <w:rFonts w:ascii="Times New Roman" w:hAnsi="Times New Roman" w:cs="Times New Roman"/>
          <w:sz w:val="28"/>
          <w:szCs w:val="28"/>
        </w:rPr>
        <w:t xml:space="preserve"> </w:t>
      </w:r>
      <w:r w:rsidR="004C5146" w:rsidRPr="0080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22" w:rsidRPr="007C6522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района в объеме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млн.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1,3 % к годовому плану, но ниже процента неисполнения бюджета района по отношению к 2014 году на 4,2%; </w:t>
      </w:r>
    </w:p>
    <w:p w:rsidR="007C6522" w:rsidRPr="007C6522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федерального и краевого бюджета в объеме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или 2,7 % к годовому плану, но ниже процента неисполнения бюджета по отношению к 2014 году на 1,6 %. </w:t>
      </w:r>
    </w:p>
    <w:p w:rsidR="004C5146" w:rsidRPr="00A33435" w:rsidRDefault="00B83539" w:rsidP="00DC02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435">
        <w:rPr>
          <w:rFonts w:ascii="Times New Roman" w:hAnsi="Times New Roman" w:cs="Times New Roman"/>
          <w:sz w:val="28"/>
          <w:szCs w:val="28"/>
        </w:rPr>
        <w:lastRenderedPageBreak/>
        <w:t>(в 2014 году объем неосвоенных средств бюджета составлял 102,6 млн. рублей или 4,7 % к годовому плану)</w:t>
      </w:r>
    </w:p>
    <w:p w:rsidR="007C6522" w:rsidRPr="0080566D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и результатов контрольных мероприятий </w:t>
      </w:r>
      <w:r w:rsidRPr="00805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неисполнения бюджета являются:</w:t>
      </w:r>
    </w:p>
    <w:p w:rsidR="007C6522" w:rsidRPr="007C6522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неосвоение</w:t>
      </w:r>
      <w:proofErr w:type="spellEnd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 по </w:t>
      </w:r>
      <w:proofErr w:type="spellStart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подпроекту</w:t>
      </w:r>
      <w:proofErr w:type="spellEnd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«Ликвидация ветхих (аварийных) домов» в рамках реализации ФЗ от 21.07.2007 № 185-ФЗ «О фонде содействия реформированию жилищно-коммунального хозяйства», </w:t>
      </w:r>
      <w:proofErr w:type="spellStart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краевого бюджета (не предоставление жилых помещений для переселения граждан в связи с нарушением сроков сдачи объектов строительства) в сумме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млн</w:t>
      </w:r>
      <w:proofErr w:type="gramStart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</w:p>
    <w:p w:rsidR="007C6522" w:rsidRPr="007C6522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поэтапная оплата работ в соответствие с условиями заключенного муниципального контракта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 млн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 </w:t>
      </w:r>
    </w:p>
    <w:p w:rsidR="007C6522" w:rsidRPr="007C6522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численности получателей выплат, пособий, компенсаций и заявительный характер выплат и компенсаций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.рублей; </w:t>
      </w:r>
    </w:p>
    <w:p w:rsidR="007C6522" w:rsidRPr="007C6522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финансирования из сре</w:t>
      </w:r>
      <w:proofErr w:type="gramStart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 –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млн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7C6522" w:rsidRPr="007C6522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от проведения конкурсных процедур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</w:p>
    <w:p w:rsidR="007C6522" w:rsidRPr="007C6522" w:rsidRDefault="007C6522" w:rsidP="007C652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по фактической  потребности в финансировании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</w:t>
      </w:r>
      <w:r w:rsidRPr="007C65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63D74" w:rsidRPr="00863D74" w:rsidRDefault="00BE5DC7" w:rsidP="007C6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C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C6522">
        <w:rPr>
          <w:rFonts w:ascii="Times New Roman" w:hAnsi="Times New Roman" w:cs="Times New Roman"/>
          <w:sz w:val="28"/>
          <w:szCs w:val="28"/>
        </w:rPr>
        <w:t>В 2015</w:t>
      </w:r>
      <w:r w:rsidR="00863D74" w:rsidRPr="00863D74">
        <w:rPr>
          <w:rFonts w:ascii="Times New Roman" w:hAnsi="Times New Roman" w:cs="Times New Roman"/>
          <w:sz w:val="28"/>
          <w:szCs w:val="28"/>
        </w:rPr>
        <w:t xml:space="preserve"> году исполнение бюджета Чайковского муниципального района по расходам осуществляли десять главных распорядителей средств бюджета. </w:t>
      </w:r>
    </w:p>
    <w:p w:rsidR="00863D74" w:rsidRPr="00863D74" w:rsidRDefault="00DE2F80" w:rsidP="007C6522">
      <w:pPr>
        <w:autoSpaceDE w:val="0"/>
        <w:autoSpaceDN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восьми</w:t>
      </w:r>
      <w:r w:rsidR="00863D74" w:rsidRPr="00863D74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Чайковского муниципального района исполнение расходов сложилось ниже 100 % к уточненному годовому плану.</w:t>
      </w:r>
    </w:p>
    <w:p w:rsidR="00863D74" w:rsidRPr="00863D74" w:rsidRDefault="00DE2F80" w:rsidP="0033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35">
        <w:rPr>
          <w:rFonts w:ascii="Times New Roman" w:hAnsi="Times New Roman" w:cs="Times New Roman"/>
          <w:sz w:val="28"/>
          <w:szCs w:val="28"/>
        </w:rPr>
        <w:t>Основной</w:t>
      </w:r>
      <w:r w:rsidR="00863D74" w:rsidRPr="00A33435">
        <w:rPr>
          <w:rFonts w:ascii="Times New Roman" w:hAnsi="Times New Roman" w:cs="Times New Roman"/>
          <w:sz w:val="28"/>
          <w:szCs w:val="28"/>
        </w:rPr>
        <w:t xml:space="preserve"> объем неисполнения расходов</w:t>
      </w:r>
      <w:r w:rsidR="00863D74" w:rsidRPr="00863D74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3D74" w:rsidRPr="00863D74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средств: </w:t>
      </w:r>
    </w:p>
    <w:p w:rsidR="00FB4705" w:rsidRDefault="00FB4705" w:rsidP="0033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градостроительства и развития инфраструктуры – 36,1 млн.рублей (исполнение 80,6 %);</w:t>
      </w:r>
    </w:p>
    <w:p w:rsidR="00FB4705" w:rsidRDefault="007C6522" w:rsidP="0033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экономического развития – 1,7</w:t>
      </w:r>
      <w:r w:rsidR="00863D74" w:rsidRPr="00863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D74">
        <w:rPr>
          <w:rFonts w:ascii="Times New Roman" w:hAnsi="Times New Roman" w:cs="Times New Roman"/>
          <w:color w:val="000000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рублей (исполнение </w:t>
      </w:r>
      <w:r w:rsidR="00FB4705">
        <w:rPr>
          <w:rFonts w:ascii="Times New Roman" w:hAnsi="Times New Roman" w:cs="Times New Roman"/>
          <w:sz w:val="28"/>
          <w:szCs w:val="28"/>
        </w:rPr>
        <w:t>94,4</w:t>
      </w:r>
      <w:r w:rsidR="00863D74" w:rsidRPr="00863D74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B4705" w:rsidRDefault="00FB4705" w:rsidP="0033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– 900 тыс.рублей (исполнение 98,8 %);</w:t>
      </w:r>
    </w:p>
    <w:p w:rsidR="00FB4705" w:rsidRDefault="00FB4705" w:rsidP="0033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– 1 млн.рублей (исполнение 99,1 %);</w:t>
      </w:r>
    </w:p>
    <w:p w:rsidR="00863D74" w:rsidRDefault="00863D74" w:rsidP="0033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74">
        <w:rPr>
          <w:rFonts w:ascii="Times New Roman" w:hAnsi="Times New Roman" w:cs="Times New Roman"/>
          <w:sz w:val="28"/>
          <w:szCs w:val="28"/>
        </w:rPr>
        <w:t>-Комит</w:t>
      </w:r>
      <w:r w:rsidR="00FB4705">
        <w:rPr>
          <w:rFonts w:ascii="Times New Roman" w:hAnsi="Times New Roman" w:cs="Times New Roman"/>
          <w:sz w:val="28"/>
          <w:szCs w:val="28"/>
        </w:rPr>
        <w:t>ет по управлению имуществом – 600</w:t>
      </w:r>
      <w:r w:rsidRPr="00863D74">
        <w:rPr>
          <w:rFonts w:ascii="Times New Roman" w:hAnsi="Times New Roman" w:cs="Times New Roman"/>
          <w:sz w:val="28"/>
          <w:szCs w:val="28"/>
        </w:rPr>
        <w:t xml:space="preserve"> </w:t>
      </w:r>
      <w:r w:rsidR="00FB4705">
        <w:rPr>
          <w:rFonts w:ascii="Times New Roman" w:hAnsi="Times New Roman" w:cs="Times New Roman"/>
          <w:sz w:val="28"/>
          <w:szCs w:val="28"/>
        </w:rPr>
        <w:t>тыс. рублей (исполнение 99,3</w:t>
      </w:r>
      <w:r w:rsidRPr="00863D74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B4705" w:rsidRPr="00863D74" w:rsidRDefault="00FB4705" w:rsidP="0033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7C">
        <w:rPr>
          <w:rFonts w:ascii="Times New Roman" w:hAnsi="Times New Roman" w:cs="Times New Roman"/>
          <w:sz w:val="28"/>
          <w:szCs w:val="28"/>
        </w:rPr>
        <w:t>-Управлени</w:t>
      </w:r>
      <w:r>
        <w:rPr>
          <w:rFonts w:ascii="Times New Roman" w:hAnsi="Times New Roman" w:cs="Times New Roman"/>
          <w:sz w:val="28"/>
          <w:szCs w:val="28"/>
        </w:rPr>
        <w:t>е культуры и искусства – 800</w:t>
      </w:r>
      <w:r w:rsidRPr="00DE277C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 (исполнение 99,5 %);</w:t>
      </w:r>
    </w:p>
    <w:p w:rsidR="00863D74" w:rsidRDefault="00863D74" w:rsidP="005A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74">
        <w:rPr>
          <w:rFonts w:ascii="Times New Roman" w:hAnsi="Times New Roman" w:cs="Times New Roman"/>
          <w:sz w:val="28"/>
          <w:szCs w:val="28"/>
        </w:rPr>
        <w:t xml:space="preserve">-Управление общего и профессионального образования </w:t>
      </w:r>
      <w:r w:rsidR="00DE2F80">
        <w:rPr>
          <w:rFonts w:ascii="Times New Roman" w:hAnsi="Times New Roman" w:cs="Times New Roman"/>
          <w:color w:val="000000"/>
          <w:sz w:val="28"/>
          <w:szCs w:val="28"/>
        </w:rPr>
        <w:t>– 2</w:t>
      </w:r>
      <w:r w:rsidRPr="00863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863D74">
        <w:rPr>
          <w:rFonts w:ascii="Times New Roman" w:hAnsi="Times New Roman" w:cs="Times New Roman"/>
          <w:sz w:val="28"/>
          <w:szCs w:val="28"/>
        </w:rPr>
        <w:t xml:space="preserve">. </w:t>
      </w:r>
      <w:r w:rsidR="00DE2F80">
        <w:rPr>
          <w:rFonts w:ascii="Times New Roman" w:hAnsi="Times New Roman" w:cs="Times New Roman"/>
          <w:sz w:val="28"/>
          <w:szCs w:val="28"/>
        </w:rPr>
        <w:t>рублей (исполнение 99,8 %).</w:t>
      </w:r>
    </w:p>
    <w:p w:rsidR="00D4044A" w:rsidRPr="00DE277C" w:rsidRDefault="00D4044A" w:rsidP="005A14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по сравнени</w:t>
      </w:r>
      <w:r w:rsidR="008F55D5">
        <w:rPr>
          <w:rFonts w:ascii="Times New Roman" w:hAnsi="Times New Roman" w:cs="Times New Roman"/>
          <w:sz w:val="28"/>
          <w:szCs w:val="28"/>
        </w:rPr>
        <w:t>ю с 2014 годом существенно возро</w:t>
      </w:r>
      <w:r>
        <w:rPr>
          <w:rFonts w:ascii="Times New Roman" w:hAnsi="Times New Roman" w:cs="Times New Roman"/>
          <w:sz w:val="28"/>
          <w:szCs w:val="28"/>
        </w:rPr>
        <w:t xml:space="preserve">сли показатели исполнения бюджета по расходам по Комитету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имуществом (в 2014 – 41,1%) и Администрации ЧМР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2014 – 83,6%).</w:t>
      </w:r>
    </w:p>
    <w:p w:rsidR="005A141A" w:rsidRPr="005A141A" w:rsidRDefault="00BB7DD5" w:rsidP="005A141A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5D40">
        <w:rPr>
          <w:rFonts w:ascii="Times New Roman" w:hAnsi="Times New Roman" w:cs="Times New Roman"/>
          <w:sz w:val="28"/>
          <w:szCs w:val="28"/>
        </w:rPr>
        <w:t xml:space="preserve">Как и в прошлые годы, приоритетным направлением расходования средств бюджета Чайковского муниципального района в отчетном периоде являлось финансирование отраслей социального блока. </w:t>
      </w:r>
      <w:r w:rsidR="005A141A" w:rsidRP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бюджете Чайковского муниципального района на 2015 год расходы на эти цели утверждены в объеме 1</w:t>
      </w:r>
      <w:r w:rsid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млрд. 649</w:t>
      </w:r>
      <w:r w:rsidR="005A141A" w:rsidRP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A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5A141A" w:rsidRP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рублей, что составляет 84,2 % в структуре расходов бюджета района. </w:t>
      </w:r>
    </w:p>
    <w:p w:rsidR="005A141A" w:rsidRPr="005A141A" w:rsidRDefault="005A141A" w:rsidP="005A141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Кассовое исполнение расходов по отраслям социального блока составило 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млрд. 629</w:t>
      </w:r>
      <w:r w:rsidRPr="005A141A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P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рублей (84,9 % в структуре расходов бюджета), или 83,1 % к уточненному годовому плану. В сравнении с 2014 годом расходы на финансирование отраслей социального б</w:t>
      </w:r>
      <w:r w:rsidR="00ED3B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лока снизились на 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P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рублей, или на 4,6 % (2014 год – 1</w:t>
      </w:r>
      <w:r w:rsidR="00ED3B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млрд. 708</w:t>
      </w:r>
      <w:r w:rsidR="00ED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P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рублей) в связи с: передачей учреждений здравоохранения в собственность Пермского края</w:t>
      </w:r>
      <w:r w:rsidR="00ED3B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</w:t>
      </w:r>
      <w:r w:rsidRPr="005A14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уменьшением численности получателей выплат, пособий и компенсаций.</w:t>
      </w:r>
    </w:p>
    <w:p w:rsidR="00845D40" w:rsidRPr="00845D40" w:rsidRDefault="00845D40" w:rsidP="00845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40">
        <w:rPr>
          <w:rFonts w:ascii="Times New Roman" w:hAnsi="Times New Roman" w:cs="Times New Roman"/>
          <w:sz w:val="28"/>
          <w:szCs w:val="28"/>
        </w:rPr>
        <w:t>Наибольший удельный вес структуре расходов Чайковского муниципального района составляют расходы на:</w:t>
      </w:r>
    </w:p>
    <w:p w:rsidR="00845D40" w:rsidRDefault="00ED3B92" w:rsidP="00845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75,3 % (1 млрд. 443</w:t>
      </w:r>
      <w:r w:rsidR="00845D40" w:rsidRPr="00845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2AA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845D40" w:rsidRPr="00845D40">
        <w:rPr>
          <w:rFonts w:ascii="Times New Roman" w:hAnsi="Times New Roman" w:cs="Times New Roman"/>
          <w:sz w:val="28"/>
          <w:szCs w:val="28"/>
        </w:rPr>
        <w:t>. рублей);</w:t>
      </w:r>
    </w:p>
    <w:p w:rsidR="00ED3B92" w:rsidRPr="00845D40" w:rsidRDefault="00ED3B92" w:rsidP="00845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общегосударственные вопросы – 6,6 % (126,4 млн.рублей);</w:t>
      </w:r>
    </w:p>
    <w:p w:rsidR="00845D40" w:rsidRPr="00845D40" w:rsidRDefault="00845D40" w:rsidP="00845D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D40">
        <w:rPr>
          <w:rFonts w:ascii="Times New Roman" w:hAnsi="Times New Roman" w:cs="Times New Roman"/>
          <w:sz w:val="28"/>
          <w:szCs w:val="28"/>
        </w:rPr>
        <w:t xml:space="preserve">социальную политику – </w:t>
      </w:r>
      <w:r w:rsidR="00ED3B92">
        <w:rPr>
          <w:rFonts w:ascii="Times New Roman" w:hAnsi="Times New Roman" w:cs="Times New Roman"/>
          <w:sz w:val="28"/>
          <w:szCs w:val="28"/>
        </w:rPr>
        <w:t>6,2 % (118,5</w:t>
      </w:r>
      <w:r w:rsidRPr="00845D40">
        <w:rPr>
          <w:rFonts w:ascii="Times New Roman" w:hAnsi="Times New Roman" w:cs="Times New Roman"/>
          <w:sz w:val="28"/>
          <w:szCs w:val="28"/>
        </w:rPr>
        <w:t xml:space="preserve"> </w:t>
      </w:r>
      <w:r w:rsidR="003342AA">
        <w:rPr>
          <w:rFonts w:ascii="Times New Roman" w:hAnsi="Times New Roman" w:cs="Times New Roman"/>
          <w:sz w:val="28"/>
          <w:szCs w:val="28"/>
        </w:rPr>
        <w:t>млн</w:t>
      </w:r>
      <w:r w:rsidRPr="00845D40">
        <w:rPr>
          <w:rFonts w:ascii="Times New Roman" w:hAnsi="Times New Roman" w:cs="Times New Roman"/>
          <w:color w:val="000000"/>
          <w:sz w:val="28"/>
          <w:szCs w:val="28"/>
        </w:rPr>
        <w:t>. рублей);</w:t>
      </w:r>
    </w:p>
    <w:p w:rsidR="00845D40" w:rsidRPr="00845D40" w:rsidRDefault="00ED3B92" w:rsidP="00845D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национальную экономику – 4,6 % (87,9</w:t>
      </w:r>
      <w:r w:rsidR="00845D40" w:rsidRPr="00845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2AA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845D40" w:rsidRPr="00845D40">
        <w:rPr>
          <w:rFonts w:ascii="Times New Roman" w:hAnsi="Times New Roman" w:cs="Times New Roman"/>
          <w:color w:val="000000"/>
          <w:sz w:val="28"/>
          <w:szCs w:val="28"/>
        </w:rPr>
        <w:t>. рублей).</w:t>
      </w:r>
    </w:p>
    <w:p w:rsidR="00845D40" w:rsidRPr="00845D40" w:rsidRDefault="00ED3B92" w:rsidP="00845D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счет межбюджетных трансфертов составили 2,3 % или 44,4 млн. рублей в общей структуре расходов 2015 года, что почти в два раза ниже показателей 2014 года </w:t>
      </w:r>
      <w:r w:rsidR="00845D40" w:rsidRPr="00845D40">
        <w:rPr>
          <w:rFonts w:ascii="Times New Roman" w:hAnsi="Times New Roman" w:cs="Times New Roman"/>
          <w:color w:val="000000"/>
          <w:sz w:val="28"/>
          <w:szCs w:val="28"/>
        </w:rPr>
        <w:t xml:space="preserve"> – 4,5 % (93</w:t>
      </w:r>
      <w:r w:rsidR="003342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5D40" w:rsidRPr="00845D40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3342AA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845D40" w:rsidRPr="00845D40">
        <w:rPr>
          <w:rFonts w:ascii="Times New Roman" w:hAnsi="Times New Roman" w:cs="Times New Roman"/>
          <w:color w:val="000000"/>
          <w:sz w:val="28"/>
          <w:szCs w:val="28"/>
        </w:rPr>
        <w:t>. рублей).</w:t>
      </w:r>
    </w:p>
    <w:p w:rsidR="00E2094F" w:rsidRPr="00E2094F" w:rsidRDefault="00ED3B92" w:rsidP="00E20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как в 2014 году </w:t>
      </w:r>
      <w:r w:rsidR="00E63807" w:rsidRPr="00E63807">
        <w:rPr>
          <w:rFonts w:ascii="Times New Roman" w:hAnsi="Times New Roman" w:cs="Times New Roman"/>
          <w:sz w:val="28"/>
          <w:szCs w:val="28"/>
        </w:rPr>
        <w:t>планирование 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="00E63807" w:rsidRPr="00E63807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D4044A">
        <w:rPr>
          <w:rFonts w:ascii="Times New Roman" w:hAnsi="Times New Roman" w:cs="Times New Roman"/>
          <w:sz w:val="28"/>
          <w:szCs w:val="28"/>
        </w:rPr>
        <w:t>,</w:t>
      </w:r>
      <w:r w:rsidR="00E63807" w:rsidRPr="00E63807">
        <w:rPr>
          <w:rFonts w:ascii="Times New Roman" w:hAnsi="Times New Roman" w:cs="Times New Roman"/>
          <w:sz w:val="28"/>
          <w:szCs w:val="28"/>
        </w:rPr>
        <w:t xml:space="preserve"> включенным на реализацию  муниципальных программ и не включенным в муниципальные программы (непрограммные направления деятельно</w:t>
      </w:r>
      <w:r>
        <w:rPr>
          <w:rFonts w:ascii="Times New Roman" w:hAnsi="Times New Roman" w:cs="Times New Roman"/>
          <w:sz w:val="28"/>
          <w:szCs w:val="28"/>
        </w:rPr>
        <w:t>сти). Решением о бюджете на 2015</w:t>
      </w:r>
      <w:r w:rsidR="00E63807" w:rsidRPr="00E63807">
        <w:rPr>
          <w:rFonts w:ascii="Times New Roman" w:hAnsi="Times New Roman" w:cs="Times New Roman"/>
          <w:sz w:val="28"/>
          <w:szCs w:val="28"/>
        </w:rPr>
        <w:t xml:space="preserve"> год общий объем бюджетных ассигнований, утвержден на реализацию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63807" w:rsidRPr="00E6380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D4044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F0B6E">
        <w:rPr>
          <w:rFonts w:ascii="Times New Roman" w:hAnsi="Times New Roman" w:cs="Times New Roman"/>
          <w:sz w:val="28"/>
          <w:szCs w:val="28"/>
        </w:rPr>
        <w:t>.</w:t>
      </w:r>
      <w:r w:rsidR="00E63807" w:rsidRPr="00E63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94F" w:rsidRPr="00E2094F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="00E2094F" w:rsidRPr="00E2094F">
        <w:rPr>
          <w:rFonts w:ascii="Times New Roman" w:hAnsi="Times New Roman" w:cs="Times New Roman"/>
          <w:sz w:val="28"/>
          <w:szCs w:val="28"/>
        </w:rPr>
        <w:t xml:space="preserve"> об исполнении бюджета Чайковского муниципального района за 2015 год расходы на реализацию муниципальных</w:t>
      </w:r>
      <w:r w:rsidR="00E2094F">
        <w:rPr>
          <w:rFonts w:ascii="Times New Roman" w:hAnsi="Times New Roman" w:cs="Times New Roman"/>
          <w:sz w:val="28"/>
          <w:szCs w:val="28"/>
        </w:rPr>
        <w:t xml:space="preserve"> программ составили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1</w:t>
      </w:r>
      <w:r w:rsidR="00E2094F">
        <w:rPr>
          <w:rFonts w:ascii="Times New Roman" w:hAnsi="Times New Roman" w:cs="Times New Roman"/>
          <w:sz w:val="28"/>
          <w:szCs w:val="28"/>
        </w:rPr>
        <w:t xml:space="preserve"> млрд.801 млн</w:t>
      </w:r>
      <w:r w:rsidR="00E2094F" w:rsidRPr="00E2094F">
        <w:rPr>
          <w:rFonts w:ascii="Times New Roman" w:hAnsi="Times New Roman" w:cs="Times New Roman"/>
          <w:sz w:val="28"/>
          <w:szCs w:val="28"/>
        </w:rPr>
        <w:t>. рублей</w:t>
      </w:r>
      <w:r w:rsidR="00E2094F">
        <w:rPr>
          <w:rFonts w:ascii="Times New Roman" w:hAnsi="Times New Roman" w:cs="Times New Roman"/>
          <w:sz w:val="28"/>
          <w:szCs w:val="28"/>
        </w:rPr>
        <w:t xml:space="preserve"> 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(93,9 % в структуре расходов, в 2014 году – 80%), непрограммные направления расходов с</w:t>
      </w:r>
      <w:r w:rsidR="00E2094F">
        <w:rPr>
          <w:rFonts w:ascii="Times New Roman" w:hAnsi="Times New Roman" w:cs="Times New Roman"/>
          <w:sz w:val="28"/>
          <w:szCs w:val="28"/>
        </w:rPr>
        <w:t>оставили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115</w:t>
      </w:r>
      <w:r w:rsidR="00E2094F">
        <w:rPr>
          <w:rFonts w:ascii="Times New Roman" w:hAnsi="Times New Roman" w:cs="Times New Roman"/>
          <w:sz w:val="28"/>
          <w:szCs w:val="28"/>
        </w:rPr>
        <w:t>,9 млн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. рублей (6,1 % в структуре расходов, в 2014 году -20%).   </w:t>
      </w:r>
    </w:p>
    <w:p w:rsidR="00E2094F" w:rsidRPr="00E8280E" w:rsidRDefault="00E2094F" w:rsidP="00E2094F">
      <w:pPr>
        <w:widowControl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неосвоенных бюджетных ассигнований, предусмотренных решением о бюджете на реализацию муниципальных программ составила 19,4 млн</w:t>
      </w:r>
      <w:proofErr w:type="gramStart"/>
      <w:r w:rsidRPr="00E8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8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или 1% от плановых назначений (2014 -55,8 млн. рублей, или 3,3 %), из них не исполнены бюджетные назначения из средств:</w:t>
      </w:r>
    </w:p>
    <w:p w:rsidR="00E2094F" w:rsidRPr="00E8280E" w:rsidRDefault="00E2094F" w:rsidP="00E2094F">
      <w:pPr>
        <w:widowControl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района в сумме 9 млн. рублей (2014 – 37,9 млн. рублей);</w:t>
      </w:r>
    </w:p>
    <w:p w:rsidR="00E2094F" w:rsidRPr="00E8280E" w:rsidRDefault="00E2094F" w:rsidP="00E2094F">
      <w:pPr>
        <w:widowControl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 бюджета в сумме 10,4 млн. рублей (2014 – 8,2 млн. рублей);</w:t>
      </w:r>
    </w:p>
    <w:p w:rsidR="00E2094F" w:rsidRPr="00E8280E" w:rsidRDefault="00E2094F" w:rsidP="00E2094F">
      <w:pPr>
        <w:widowControl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 в сумме 8,3 тыс. рублей (2014 – 9,7 млн</w:t>
      </w:r>
      <w:proofErr w:type="gramStart"/>
      <w:r w:rsidRPr="00E8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8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ублей).</w:t>
      </w:r>
    </w:p>
    <w:p w:rsidR="00E2094F" w:rsidRPr="00E2094F" w:rsidRDefault="00E2094F" w:rsidP="00E209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  <w:r w:rsidR="008F5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методикой</w:t>
      </w: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</w:t>
      </w:r>
      <w:r w:rsidR="008F55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реализации программ</w:t>
      </w: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показатели эффективности реализации муни</w:t>
      </w:r>
      <w:r w:rsidR="008F5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программ,  оцениваю</w:t>
      </w: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F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</w:t>
      </w: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094F" w:rsidRPr="00E2094F" w:rsidRDefault="00E2094F" w:rsidP="00E2094F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программ имеют «высокий уровень эффективности»: МП «Развитие образования», МП «Развитие молодежной политики» (исполнение 100%), МП «Развитие культуры и искусства»; МП «Совершенствование муниципального управления», МП «Развитие сельского хозяйства», МП «Обеспечение безопасности жизнедеятельности населения», МП «Экономическое развитие»; МП «Устойчивое развитие сельских территорий» (исполнение 100%); МП «Социальная поддержка граждан»; МП «Взаимодействие общества и власти».</w:t>
      </w:r>
    </w:p>
    <w:p w:rsidR="00E2094F" w:rsidRPr="00E2094F" w:rsidRDefault="00E2094F" w:rsidP="00E2094F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программы имеют «эффективный уровень»: МП «Управление и распоряжение муниципальным имуществом»; МП «Управление муниципальными финансами»;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«Развитие физической культуры, спорта и формирование здорового образа жизни».</w:t>
      </w:r>
    </w:p>
    <w:p w:rsidR="00E2094F" w:rsidRPr="00E2094F" w:rsidRDefault="00E2094F" w:rsidP="00E2094F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программы имеют «удовлетворительный уровень эффективности  МП «Муниципальные дороги ЧМР»; МП «Организация охраны окружающей среды».</w:t>
      </w:r>
    </w:p>
    <w:p w:rsidR="00E2094F" w:rsidRPr="00437131" w:rsidRDefault="00E2094F" w:rsidP="00E2094F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сравнении с 2014 годом уровень эффективности реализации муниципальных программ существенно возрос. Не смотря на количественное снижение показателей исполнения муниципальных программ, применяемую оценку степени достижения показателей эффективности в 2015 году можно охарактеризовать как более объективную и корректную. </w:t>
      </w:r>
    </w:p>
    <w:p w:rsidR="00653F17" w:rsidRDefault="00653F17" w:rsidP="0065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13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перечень объектов капитального строительства</w:t>
      </w:r>
      <w:r w:rsidRPr="00653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(реконструкции) для муниципальных нужд Чайковского муниципального района, финансирование которых из бюджета района предусмотрено в 2015 году, включено 7 объектов капитального строительства и реконструкции, в том числе, 5 объектов, переходящих с предыдущих годов и 2 объекта – 2015 года. </w:t>
      </w:r>
    </w:p>
    <w:p w:rsidR="00653F17" w:rsidRPr="00653F17" w:rsidRDefault="00653F17" w:rsidP="00653F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3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 по бюджетным инвестициям из бюджета района в</w:t>
      </w:r>
      <w:r w:rsidRPr="00653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объекты капитального строительства (реконструкции) составило 14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,5 млн</w:t>
      </w:r>
      <w:r w:rsidRPr="00653F17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 (или 0,8%</w:t>
      </w:r>
      <w:r w:rsidRPr="0065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расходов бюджета района)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53F1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сравнении с 2014 годом кассовые расходы по объектам строительства (реконструкции) из средств бюджета района за 2015 год увеличились на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на </w:t>
      </w:r>
      <w:r w:rsidRPr="00653F17">
        <w:rPr>
          <w:rFonts w:ascii="Times New Roman" w:eastAsia="Times New Roman" w:hAnsi="Times New Roman" w:cs="Times New Roman"/>
          <w:sz w:val="28"/>
          <w:szCs w:val="28"/>
          <w:lang w:eastAsia="ru-RU"/>
        </w:rPr>
        <w:t>43% (2014 год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 млн</w:t>
      </w:r>
      <w:r w:rsidRPr="00653F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рублей).</w:t>
      </w:r>
    </w:p>
    <w:p w:rsidR="00653F17" w:rsidRPr="00653F17" w:rsidRDefault="00653F17" w:rsidP="00653F1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трех объектов в бюджете района планом предусмотрено долевое финансирование </w:t>
      </w:r>
      <w:r w:rsidRPr="00653F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средств краевого бюджета</w:t>
      </w:r>
      <w:r w:rsidRPr="0065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 млн</w:t>
      </w:r>
      <w:r w:rsidRPr="0065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рублей, освоение которых составило 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млн</w:t>
      </w:r>
      <w:r w:rsidRPr="0065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рублей, или 99,9 % годового плана (2014 – 61,6%).</w:t>
      </w:r>
    </w:p>
    <w:p w:rsidR="00653F17" w:rsidRDefault="00653F17" w:rsidP="00653F1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F1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отчету об исполнении расходов Чайковского муниципального района работы по объектам строительства (реконструкции) за 2015 год (форма Г-12) по 6 объектам работы выполнены в полном объеме, по 1 объекту «Универсальная спортивная площадка с искусственным покрытием (межшкольный стадион) СОШ № 10 в г</w:t>
      </w:r>
      <w:proofErr w:type="gramStart"/>
      <w:r w:rsidRPr="00653F17">
        <w:rPr>
          <w:rFonts w:ascii="Times New Roman" w:eastAsia="Times New Roman" w:hAnsi="Times New Roman" w:cs="Times New Roman"/>
          <w:sz w:val="28"/>
          <w:szCs w:val="20"/>
          <w:lang w:eastAsia="ru-RU"/>
        </w:rPr>
        <w:t>.Ч</w:t>
      </w:r>
      <w:proofErr w:type="gramEnd"/>
      <w:r w:rsidRPr="00653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айковский, Пермский край» - на 40% (разработка ПСД). </w:t>
      </w:r>
    </w:p>
    <w:p w:rsidR="00653F17" w:rsidRPr="00653F17" w:rsidRDefault="00653F17" w:rsidP="00653F1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C7" w:rsidRDefault="000A5FC7" w:rsidP="000A5FC7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C7">
        <w:rPr>
          <w:rFonts w:ascii="Times New Roman" w:eastAsia="Calibri" w:hAnsi="Times New Roman" w:cs="Times New Roman"/>
          <w:sz w:val="28"/>
          <w:szCs w:val="28"/>
        </w:rPr>
        <w:lastRenderedPageBreak/>
        <w:t>В ходе внешней проверки проверена бюджетная отчетность 10 главных администраторов бюджета района и выборочная проверка бюджетной и бухгалтерской отчетности подведомственных им учреждений. По результатам проверки составлены акты о результатах проведенных проверок, которые направлены проверяемой стороне.</w:t>
      </w:r>
    </w:p>
    <w:p w:rsidR="009C1B90" w:rsidRPr="000A5FC7" w:rsidRDefault="009C1B90" w:rsidP="009C1B9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Pr="009C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годовой бухгалтерской отчетности осуществляется на основании показателей отчетности подведомственных учреждений, была проведена выборочная проверка отчетности муниципальных учреждений.</w:t>
      </w:r>
    </w:p>
    <w:p w:rsidR="000A5FC7" w:rsidRPr="000A5FC7" w:rsidRDefault="000A5FC7" w:rsidP="000A5F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отчетности главных администраторов средств бюджета и сводной годовой бюджетной отчетности об исполнении бюджета муниципального района за 2015 год </w:t>
      </w:r>
      <w:r w:rsidRPr="000A5FC7">
        <w:rPr>
          <w:rFonts w:ascii="Times New Roman" w:eastAsia="Times New Roman" w:hAnsi="Times New Roman" w:cs="Times New Roman"/>
          <w:i/>
          <w:sz w:val="28"/>
          <w:lang w:eastAsia="ru-RU"/>
        </w:rPr>
        <w:t>установлены следующие нарушения:</w:t>
      </w:r>
    </w:p>
    <w:p w:rsidR="000A5FC7" w:rsidRPr="000A5FC7" w:rsidRDefault="000A5FC7" w:rsidP="000A5FC7">
      <w:pPr>
        <w:widowControl w:val="0"/>
        <w:numPr>
          <w:ilvl w:val="0"/>
          <w:numId w:val="14"/>
        </w:numPr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 при формировании показателей отдельных форм годовой бюджетной отчетности об исполнении бюджета за 2015 год Администрацией Чайковского муниципального района, Комитетом градостроительства и развития инфраструктуры администрации Чайковского муниципального района, Комитетом по управлению имуществом администрации Чайковского муниципального района, Управлением образования администрации Чайковского муниципального района, Управлением культуры и молодежной политики администрации Чайковского муниципального района;</w:t>
      </w:r>
    </w:p>
    <w:p w:rsidR="000A5FC7" w:rsidRPr="000A5FC7" w:rsidRDefault="000A5FC7" w:rsidP="000A5FC7">
      <w:pPr>
        <w:widowControl w:val="0"/>
        <w:numPr>
          <w:ilvl w:val="0"/>
          <w:numId w:val="14"/>
        </w:numPr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показателей отдельных форм годовой бюджетной отчетности об исполнении бюджета за 2015 год показателям Главной книги главного распорядителя средств бюджета и (или) подведомственного казенного учреждения Администрацией Чайковского муниципального района, Комитетом градостроительства и развития инфраструктуры администрации Чайковского муниципального района, Управлением образования администрации Чайковского муниципального района, Управлением культуры и молодежной политики администрации Чайковского муниципального района;</w:t>
      </w:r>
    </w:p>
    <w:p w:rsidR="000A5FC7" w:rsidRPr="000A5FC7" w:rsidRDefault="000A5FC7" w:rsidP="000A5FC7">
      <w:pPr>
        <w:widowControl w:val="0"/>
        <w:numPr>
          <w:ilvl w:val="0"/>
          <w:numId w:val="14"/>
        </w:numPr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нарушение 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приказа Минфина РФ от 01.07.2013 №65н при применении кодов бюджетной классификации на сумму </w:t>
      </w:r>
      <w:r w:rsidRPr="0023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3,9  млн. рублей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0A5F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оходам от реализации  имущества, находящихся в ведении органов местного самоуправления;</w:t>
      </w:r>
    </w:p>
    <w:p w:rsidR="000A5FC7" w:rsidRPr="000A5FC7" w:rsidRDefault="000A5FC7" w:rsidP="000A5FC7">
      <w:pPr>
        <w:widowControl w:val="0"/>
        <w:numPr>
          <w:ilvl w:val="0"/>
          <w:numId w:val="14"/>
        </w:numPr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нарушение требований 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34 Бюджетного кодекса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бюджетных средств, выразившееся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судебных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в сумме 52,000 тыс. рублей; </w:t>
      </w:r>
    </w:p>
    <w:p w:rsidR="000A5FC7" w:rsidRPr="000A5FC7" w:rsidRDefault="000A5FC7" w:rsidP="000A5FC7">
      <w:pPr>
        <w:widowControl w:val="0"/>
        <w:numPr>
          <w:ilvl w:val="0"/>
          <w:numId w:val="14"/>
        </w:numPr>
        <w:adjustRightInd w:val="0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ведения бюджетного учета главного распорядителя бюджетных средств, получателя бюджетных средств при отражении на счетах бухгалтерского учета хозяйственных операций по санкционированию 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бюджета, отражение на счетах бюджетного учета доходов бюджета, предусмотренных приказом Минфина России от 28.12.2010 № 157н  Администрацией Чайковского муниципального района, Управлением образования администрации Чайковского муниципального района, Управлением культуры и молодежной политики администрации Чайковского муниципального района;</w:t>
      </w:r>
      <w:r w:rsidR="005B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67"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градостроительства и развития инфраструктуры администрации Чайковского муниципального района</w:t>
      </w:r>
      <w:r w:rsidR="005B73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всех перечисленных учреждениях кроме Комитета градостроительства аналогичное нарушение допускалось в 2014 году.</w:t>
      </w:r>
    </w:p>
    <w:p w:rsidR="000A5FC7" w:rsidRPr="000A5FC7" w:rsidRDefault="000A5FC7" w:rsidP="000A5F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A5FC7">
        <w:rPr>
          <w:rFonts w:ascii="Times New Roman" w:eastAsia="Calibri" w:hAnsi="Times New Roman" w:cs="Times New Roman"/>
          <w:sz w:val="28"/>
          <w:szCs w:val="28"/>
        </w:rPr>
        <w:t xml:space="preserve">неэффективное администрирование средств бюджета, выразившееся в наличии просроченной и невозможной к взысканию дебиторской задолженности (потери бюджета)  в сумме </w:t>
      </w:r>
      <w:r w:rsidRPr="00A33435">
        <w:rPr>
          <w:rFonts w:ascii="Times New Roman" w:eastAsia="Calibri" w:hAnsi="Times New Roman" w:cs="Times New Roman"/>
          <w:sz w:val="28"/>
          <w:szCs w:val="28"/>
        </w:rPr>
        <w:t>12,5 млн. рублей</w:t>
      </w:r>
      <w:r w:rsidRPr="000A5FC7">
        <w:rPr>
          <w:rFonts w:ascii="Times New Roman" w:eastAsia="Calibri" w:hAnsi="Times New Roman" w:cs="Times New Roman"/>
          <w:sz w:val="28"/>
          <w:szCs w:val="28"/>
        </w:rPr>
        <w:t xml:space="preserve">, в т.ч. списание дебиторской задолженности в сумме </w:t>
      </w:r>
      <w:r w:rsidRPr="00A33435">
        <w:rPr>
          <w:rFonts w:ascii="Times New Roman" w:eastAsia="Calibri" w:hAnsi="Times New Roman" w:cs="Times New Roman"/>
          <w:sz w:val="28"/>
          <w:szCs w:val="28"/>
        </w:rPr>
        <w:t>5,7 млн. рублей,</w:t>
      </w:r>
      <w:r w:rsidRPr="000A5FC7">
        <w:rPr>
          <w:rFonts w:ascii="Times New Roman" w:eastAsia="Calibri" w:hAnsi="Times New Roman" w:cs="Times New Roman"/>
          <w:sz w:val="28"/>
          <w:szCs w:val="28"/>
        </w:rPr>
        <w:t xml:space="preserve"> увеличение задолженности нереальной к взысканию в сумме </w:t>
      </w:r>
      <w:r w:rsidRPr="00A33435">
        <w:rPr>
          <w:rFonts w:ascii="Times New Roman" w:eastAsia="Calibri" w:hAnsi="Times New Roman" w:cs="Times New Roman"/>
          <w:sz w:val="28"/>
          <w:szCs w:val="28"/>
        </w:rPr>
        <w:t>6,8 млн. рублей.</w:t>
      </w:r>
      <w:r w:rsidRPr="000A5F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704B" w:rsidRPr="00437131" w:rsidRDefault="00F7704B" w:rsidP="0022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31">
        <w:rPr>
          <w:rFonts w:ascii="Times New Roman" w:hAnsi="Times New Roman" w:cs="Times New Roman"/>
          <w:sz w:val="28"/>
          <w:szCs w:val="28"/>
        </w:rPr>
        <w:t>Внешние проверки бюджетной отчетности главных администраторов средств бюджета района, показали недостаточный  ведомств</w:t>
      </w:r>
      <w:r w:rsidR="000A5FC7" w:rsidRPr="00437131">
        <w:rPr>
          <w:rFonts w:ascii="Times New Roman" w:hAnsi="Times New Roman" w:cs="Times New Roman"/>
          <w:sz w:val="28"/>
          <w:szCs w:val="28"/>
        </w:rPr>
        <w:t>енный финансовый контроль в 2015</w:t>
      </w:r>
      <w:r w:rsidRPr="00437131">
        <w:rPr>
          <w:rFonts w:ascii="Times New Roman" w:hAnsi="Times New Roman" w:cs="Times New Roman"/>
          <w:sz w:val="28"/>
          <w:szCs w:val="28"/>
        </w:rPr>
        <w:t xml:space="preserve"> году главными распорядителями средств бюджета, о чем свидетельствует нарушения, установленные в результате выборочной проверки годовой отчетности подведомственных им учреждений.</w:t>
      </w:r>
    </w:p>
    <w:p w:rsidR="00E21C67" w:rsidRPr="00437131" w:rsidRDefault="00E21C67" w:rsidP="00227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31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</w:t>
      </w:r>
      <w:r w:rsidR="00A33435">
        <w:rPr>
          <w:rFonts w:ascii="Times New Roman" w:hAnsi="Times New Roman" w:cs="Times New Roman"/>
          <w:sz w:val="28"/>
          <w:szCs w:val="28"/>
        </w:rPr>
        <w:t>Контрольно</w:t>
      </w:r>
      <w:r w:rsidR="000902B8">
        <w:rPr>
          <w:rFonts w:ascii="Times New Roman" w:hAnsi="Times New Roman" w:cs="Times New Roman"/>
          <w:sz w:val="28"/>
          <w:szCs w:val="28"/>
        </w:rPr>
        <w:t>-</w:t>
      </w:r>
      <w:r w:rsidR="00A33435">
        <w:rPr>
          <w:rFonts w:ascii="Times New Roman" w:hAnsi="Times New Roman" w:cs="Times New Roman"/>
          <w:sz w:val="28"/>
          <w:szCs w:val="28"/>
        </w:rPr>
        <w:t xml:space="preserve">счетная </w:t>
      </w:r>
      <w:r w:rsidR="000902B8">
        <w:rPr>
          <w:rFonts w:ascii="Times New Roman" w:hAnsi="Times New Roman" w:cs="Times New Roman"/>
          <w:sz w:val="28"/>
          <w:szCs w:val="28"/>
        </w:rPr>
        <w:t>плата</w:t>
      </w:r>
      <w:r w:rsidRPr="00437131">
        <w:rPr>
          <w:rFonts w:ascii="Times New Roman" w:hAnsi="Times New Roman" w:cs="Times New Roman"/>
          <w:sz w:val="28"/>
          <w:szCs w:val="28"/>
        </w:rPr>
        <w:t xml:space="preserve">  рекомендует  администрации и ГРБС </w:t>
      </w:r>
      <w:r w:rsidR="000902B8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  <w:r w:rsidRPr="00437131">
        <w:rPr>
          <w:rFonts w:ascii="Times New Roman" w:hAnsi="Times New Roman" w:cs="Times New Roman"/>
          <w:sz w:val="28"/>
          <w:szCs w:val="28"/>
        </w:rPr>
        <w:t xml:space="preserve">  </w:t>
      </w:r>
      <w:r w:rsidR="009C3387" w:rsidRPr="00437131">
        <w:rPr>
          <w:rFonts w:ascii="Times New Roman" w:hAnsi="Times New Roman" w:cs="Times New Roman"/>
          <w:sz w:val="28"/>
          <w:szCs w:val="28"/>
        </w:rPr>
        <w:t xml:space="preserve">принять необходимые меры </w:t>
      </w:r>
      <w:r w:rsidR="00F60189" w:rsidRPr="00437131">
        <w:rPr>
          <w:rFonts w:ascii="Times New Roman" w:hAnsi="Times New Roman" w:cs="Times New Roman"/>
          <w:sz w:val="28"/>
          <w:szCs w:val="28"/>
        </w:rPr>
        <w:t>для исполнения бюджета Чайковского муниципального района в 201</w:t>
      </w:r>
      <w:r w:rsidR="000A5FC7" w:rsidRPr="00437131">
        <w:rPr>
          <w:rFonts w:ascii="Times New Roman" w:hAnsi="Times New Roman" w:cs="Times New Roman"/>
          <w:sz w:val="28"/>
          <w:szCs w:val="28"/>
        </w:rPr>
        <w:t>6</w:t>
      </w:r>
      <w:r w:rsidR="00F60189" w:rsidRPr="00437131">
        <w:rPr>
          <w:rFonts w:ascii="Times New Roman" w:hAnsi="Times New Roman" w:cs="Times New Roman"/>
          <w:sz w:val="28"/>
          <w:szCs w:val="28"/>
        </w:rPr>
        <w:t xml:space="preserve"> году в соответствии с</w:t>
      </w:r>
      <w:r w:rsidRPr="0043713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189" w:rsidRPr="00437131">
        <w:rPr>
          <w:rFonts w:ascii="Times New Roman" w:hAnsi="Times New Roman" w:cs="Times New Roman"/>
          <w:sz w:val="28"/>
          <w:szCs w:val="28"/>
        </w:rPr>
        <w:t>ями</w:t>
      </w:r>
      <w:r w:rsidRPr="00437131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F60189" w:rsidRPr="00437131">
        <w:rPr>
          <w:rFonts w:ascii="Times New Roman" w:hAnsi="Times New Roman" w:cs="Times New Roman"/>
          <w:sz w:val="28"/>
          <w:szCs w:val="28"/>
        </w:rPr>
        <w:t xml:space="preserve"> и недопущению установленных в результате проверки нарушений</w:t>
      </w:r>
      <w:r w:rsidRPr="00437131">
        <w:rPr>
          <w:rFonts w:ascii="Times New Roman" w:hAnsi="Times New Roman" w:cs="Times New Roman"/>
          <w:sz w:val="28"/>
          <w:szCs w:val="28"/>
        </w:rPr>
        <w:t>.</w:t>
      </w:r>
    </w:p>
    <w:p w:rsidR="000A5FC7" w:rsidRPr="000A5FC7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A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Чайковского муниципального района:</w:t>
      </w:r>
    </w:p>
    <w:p w:rsidR="000A5FC7" w:rsidRPr="000A5FC7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Принять необходимые меры для исполнения бюджета Чайковского муниципального района в 2016 году в соответствии с требованиями Бюджетного кодекса Российской Федерации.</w:t>
      </w:r>
    </w:p>
    <w:p w:rsidR="000A5FC7" w:rsidRPr="000A5FC7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Усилить ведомственный контроль за целевым и эффективным использованием средств бюджета Чайковского муниципального района.</w:t>
      </w:r>
    </w:p>
    <w:p w:rsidR="000A5FC7" w:rsidRPr="000A5FC7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Принять необходимые меры по снижению дебиторской задолженности по неналоговым поступлениям в бюджет Чайковского муниципального района. </w:t>
      </w:r>
    </w:p>
    <w:p w:rsidR="000A5FC7" w:rsidRPr="000A5FC7" w:rsidRDefault="00824CA6" w:rsidP="000A5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1.4. Принять меры</w:t>
      </w:r>
      <w:r w:rsidR="000A5FC7"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недопущению нарушений</w:t>
      </w:r>
      <w:r w:rsidR="000A5FC7" w:rsidRPr="000A5F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A5FC7"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553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(</w:t>
      </w:r>
      <w:r w:rsidR="000A5FC7"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РФ от 01.07.2013 №65н</w:t>
      </w:r>
      <w:r w:rsidR="005530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5FC7"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кодов бюджетной классификации.  </w:t>
      </w:r>
    </w:p>
    <w:p w:rsidR="000A5FC7" w:rsidRPr="000A5FC7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распорядителям средств бюджета Чайковского муниципального района.</w:t>
      </w:r>
    </w:p>
    <w:p w:rsidR="000A5FC7" w:rsidRPr="000A5FC7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Годовую бюджетную отчетность формировать в соответствии с требованиями, установленными Инструкцией о порядке составления и представления годовой, квартальной и месячной отчетности об исполнении 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 бюджетной системы Российской Федерации.</w:t>
      </w:r>
    </w:p>
    <w:p w:rsidR="000A5FC7" w:rsidRPr="000A5FC7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Бюджетный учет осуществлять в соответствии инструкцией по ведению бюджетного учета.</w:t>
      </w:r>
    </w:p>
    <w:p w:rsidR="000A5FC7" w:rsidRPr="000A5FC7" w:rsidRDefault="000A5FC7" w:rsidP="000A5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0A5F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Формирование бухгалтерской отчетности бюджетных и автономных учреждений осуществлять в соответствии с требованиями, установленными Инструкцией о порядке составления и представления годовой, квартальной отчетности государственных (муниципальных) бюджетных и автономных учреждений. </w:t>
      </w:r>
    </w:p>
    <w:p w:rsidR="000A5FC7" w:rsidRPr="000A5FC7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Усилить вед</w:t>
      </w:r>
      <w:r w:rsidR="00F9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омственный контроль</w:t>
      </w:r>
      <w:bookmarkStart w:id="0" w:name="_GoBack"/>
      <w:bookmarkEnd w:id="0"/>
      <w:r w:rsidR="00F9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0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использованием средств бюджета Чайковского муниципального района, составлением бюджетной отчетности и бухгалтерской отчетности, ведением бюджетного и бухгалтерского учета получателями средств бюджета района, формированием и исполнением муниципальных заданий.</w:t>
      </w:r>
    </w:p>
    <w:p w:rsidR="000A5FC7" w:rsidRPr="00437131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внешней проверки годового отчета об исполнении бюджета Чайковского муниципального района Контрольно-счетная палата подтверждает достоверность основных параметров исполнения бюджета района за 2015 год. </w:t>
      </w:r>
    </w:p>
    <w:p w:rsidR="000A5FC7" w:rsidRPr="00437131" w:rsidRDefault="000A5FC7" w:rsidP="000A5F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Чайковского муниципального района за 2015 год рекомендуется к утверждению Земским Собранием Чайковского муниципального района с </w:t>
      </w:r>
      <w:r w:rsidR="00553064" w:rsidRPr="00437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выводов и рекомендаций Контрольно-счетной палаты.</w:t>
      </w:r>
    </w:p>
    <w:sectPr w:rsidR="000A5FC7" w:rsidRPr="00437131" w:rsidSect="00824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2F" w:rsidRDefault="00EC042F" w:rsidP="00790C7C">
      <w:pPr>
        <w:spacing w:after="0" w:line="240" w:lineRule="auto"/>
      </w:pPr>
      <w:r>
        <w:separator/>
      </w:r>
    </w:p>
  </w:endnote>
  <w:endnote w:type="continuationSeparator" w:id="0">
    <w:p w:rsidR="00EC042F" w:rsidRDefault="00EC042F" w:rsidP="0079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B2" w:rsidRDefault="008669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755234"/>
      <w:docPartObj>
        <w:docPartGallery w:val="Page Numbers (Bottom of Page)"/>
        <w:docPartUnique/>
      </w:docPartObj>
    </w:sdtPr>
    <w:sdtContent>
      <w:p w:rsidR="008669B2" w:rsidRDefault="005D1611">
        <w:pPr>
          <w:pStyle w:val="a9"/>
          <w:jc w:val="right"/>
        </w:pPr>
        <w:r>
          <w:fldChar w:fldCharType="begin"/>
        </w:r>
        <w:r w:rsidR="00BC3370">
          <w:instrText xml:space="preserve"> PAGE   \* MERGEFORMAT </w:instrText>
        </w:r>
        <w:r>
          <w:fldChar w:fldCharType="separate"/>
        </w:r>
        <w:r w:rsidR="000902B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669B2" w:rsidRDefault="008669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B2" w:rsidRDefault="008669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2F" w:rsidRDefault="00EC042F" w:rsidP="00790C7C">
      <w:pPr>
        <w:spacing w:after="0" w:line="240" w:lineRule="auto"/>
      </w:pPr>
      <w:r>
        <w:separator/>
      </w:r>
    </w:p>
  </w:footnote>
  <w:footnote w:type="continuationSeparator" w:id="0">
    <w:p w:rsidR="00EC042F" w:rsidRDefault="00EC042F" w:rsidP="0079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B2" w:rsidRDefault="008669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B2" w:rsidRDefault="008669B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B2" w:rsidRDefault="008669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8832CE"/>
    <w:lvl w:ilvl="0">
      <w:numFmt w:val="bullet"/>
      <w:lvlText w:val="*"/>
      <w:lvlJc w:val="left"/>
    </w:lvl>
  </w:abstractNum>
  <w:abstractNum w:abstractNumId="1">
    <w:nsid w:val="135E368E"/>
    <w:multiLevelType w:val="hybridMultilevel"/>
    <w:tmpl w:val="B00066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2128239C"/>
    <w:multiLevelType w:val="hybridMultilevel"/>
    <w:tmpl w:val="75B65576"/>
    <w:lvl w:ilvl="0" w:tplc="FAA4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432E7"/>
    <w:multiLevelType w:val="hybridMultilevel"/>
    <w:tmpl w:val="153E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00C0"/>
    <w:multiLevelType w:val="hybridMultilevel"/>
    <w:tmpl w:val="06985FF4"/>
    <w:lvl w:ilvl="0" w:tplc="8648F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48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6D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0D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E6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8C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002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C9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C0B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F8474A"/>
    <w:multiLevelType w:val="hybridMultilevel"/>
    <w:tmpl w:val="47725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CA482D"/>
    <w:multiLevelType w:val="multilevel"/>
    <w:tmpl w:val="41B4090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6D05DBE"/>
    <w:multiLevelType w:val="hybridMultilevel"/>
    <w:tmpl w:val="3AD8F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647030"/>
    <w:multiLevelType w:val="hybridMultilevel"/>
    <w:tmpl w:val="4800A4D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50BF6791"/>
    <w:multiLevelType w:val="hybridMultilevel"/>
    <w:tmpl w:val="FA703BBE"/>
    <w:lvl w:ilvl="0" w:tplc="368C2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3C9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40EE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63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D47C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61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A7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B630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21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EA34C64"/>
    <w:multiLevelType w:val="hybridMultilevel"/>
    <w:tmpl w:val="A6DCC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E87692"/>
    <w:multiLevelType w:val="hybridMultilevel"/>
    <w:tmpl w:val="12D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932AA"/>
    <w:multiLevelType w:val="hybridMultilevel"/>
    <w:tmpl w:val="EB68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E2323"/>
    <w:multiLevelType w:val="hybridMultilevel"/>
    <w:tmpl w:val="3ADA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5D7"/>
    <w:rsid w:val="00000186"/>
    <w:rsid w:val="0000202E"/>
    <w:rsid w:val="00003BEF"/>
    <w:rsid w:val="00014D9F"/>
    <w:rsid w:val="00014F95"/>
    <w:rsid w:val="00023632"/>
    <w:rsid w:val="00034EB4"/>
    <w:rsid w:val="0003741D"/>
    <w:rsid w:val="00042A1E"/>
    <w:rsid w:val="00044BDC"/>
    <w:rsid w:val="0005349D"/>
    <w:rsid w:val="00055B7E"/>
    <w:rsid w:val="00071F1D"/>
    <w:rsid w:val="0008106C"/>
    <w:rsid w:val="000902B8"/>
    <w:rsid w:val="00091235"/>
    <w:rsid w:val="00092643"/>
    <w:rsid w:val="000A5FC7"/>
    <w:rsid w:val="000B0F8C"/>
    <w:rsid w:val="000C72E4"/>
    <w:rsid w:val="000D23A0"/>
    <w:rsid w:val="000D6F6F"/>
    <w:rsid w:val="000E39B8"/>
    <w:rsid w:val="00104037"/>
    <w:rsid w:val="00104114"/>
    <w:rsid w:val="00107988"/>
    <w:rsid w:val="00111503"/>
    <w:rsid w:val="00113B61"/>
    <w:rsid w:val="001158F9"/>
    <w:rsid w:val="001355FC"/>
    <w:rsid w:val="0014409B"/>
    <w:rsid w:val="00165F2E"/>
    <w:rsid w:val="00170B4C"/>
    <w:rsid w:val="00173175"/>
    <w:rsid w:val="00177CAD"/>
    <w:rsid w:val="00186930"/>
    <w:rsid w:val="00191EB9"/>
    <w:rsid w:val="001A4ACD"/>
    <w:rsid w:val="001A4BBC"/>
    <w:rsid w:val="001A6EFD"/>
    <w:rsid w:val="001B7F3C"/>
    <w:rsid w:val="001C3053"/>
    <w:rsid w:val="001C3279"/>
    <w:rsid w:val="001C3F75"/>
    <w:rsid w:val="001D3CB4"/>
    <w:rsid w:val="001E18EB"/>
    <w:rsid w:val="001E1B21"/>
    <w:rsid w:val="001E7D7E"/>
    <w:rsid w:val="001F0015"/>
    <w:rsid w:val="001F3810"/>
    <w:rsid w:val="001F54D4"/>
    <w:rsid w:val="001F59C0"/>
    <w:rsid w:val="001F5DDC"/>
    <w:rsid w:val="0020525B"/>
    <w:rsid w:val="002103F6"/>
    <w:rsid w:val="0022266B"/>
    <w:rsid w:val="00227714"/>
    <w:rsid w:val="00232713"/>
    <w:rsid w:val="002436AE"/>
    <w:rsid w:val="0027131C"/>
    <w:rsid w:val="0028210D"/>
    <w:rsid w:val="00291867"/>
    <w:rsid w:val="00294974"/>
    <w:rsid w:val="002962B3"/>
    <w:rsid w:val="00297254"/>
    <w:rsid w:val="002C1D85"/>
    <w:rsid w:val="002C5A8E"/>
    <w:rsid w:val="002E327C"/>
    <w:rsid w:val="002F7FB8"/>
    <w:rsid w:val="00302B89"/>
    <w:rsid w:val="00305955"/>
    <w:rsid w:val="003075F6"/>
    <w:rsid w:val="00312603"/>
    <w:rsid w:val="0032537D"/>
    <w:rsid w:val="0032657B"/>
    <w:rsid w:val="003319FB"/>
    <w:rsid w:val="003342AA"/>
    <w:rsid w:val="00337873"/>
    <w:rsid w:val="00356182"/>
    <w:rsid w:val="00361C98"/>
    <w:rsid w:val="00367537"/>
    <w:rsid w:val="003732F7"/>
    <w:rsid w:val="00376A8C"/>
    <w:rsid w:val="003801D6"/>
    <w:rsid w:val="0038276C"/>
    <w:rsid w:val="00385F3B"/>
    <w:rsid w:val="003951D3"/>
    <w:rsid w:val="003B1484"/>
    <w:rsid w:val="003B5C70"/>
    <w:rsid w:val="003B7537"/>
    <w:rsid w:val="003C01EC"/>
    <w:rsid w:val="003C2F69"/>
    <w:rsid w:val="003D3AE8"/>
    <w:rsid w:val="003E0125"/>
    <w:rsid w:val="003F69C0"/>
    <w:rsid w:val="0040030C"/>
    <w:rsid w:val="004040F6"/>
    <w:rsid w:val="004100DD"/>
    <w:rsid w:val="0041308B"/>
    <w:rsid w:val="00421901"/>
    <w:rsid w:val="00423359"/>
    <w:rsid w:val="0042419E"/>
    <w:rsid w:val="00425907"/>
    <w:rsid w:val="004332D1"/>
    <w:rsid w:val="00437131"/>
    <w:rsid w:val="004408BD"/>
    <w:rsid w:val="00452E9D"/>
    <w:rsid w:val="00455430"/>
    <w:rsid w:val="00463A58"/>
    <w:rsid w:val="00473324"/>
    <w:rsid w:val="004775FD"/>
    <w:rsid w:val="004840AC"/>
    <w:rsid w:val="00486CB9"/>
    <w:rsid w:val="004910AA"/>
    <w:rsid w:val="004936D0"/>
    <w:rsid w:val="00497E79"/>
    <w:rsid w:val="004A263F"/>
    <w:rsid w:val="004A3702"/>
    <w:rsid w:val="004B18FF"/>
    <w:rsid w:val="004B1C51"/>
    <w:rsid w:val="004C136E"/>
    <w:rsid w:val="004C170D"/>
    <w:rsid w:val="004C5146"/>
    <w:rsid w:val="004D25D7"/>
    <w:rsid w:val="004D2B58"/>
    <w:rsid w:val="004E3706"/>
    <w:rsid w:val="004E39A3"/>
    <w:rsid w:val="004F2D60"/>
    <w:rsid w:val="004F4CB9"/>
    <w:rsid w:val="004F6BFA"/>
    <w:rsid w:val="005051E6"/>
    <w:rsid w:val="005061F7"/>
    <w:rsid w:val="005117D4"/>
    <w:rsid w:val="00514DC5"/>
    <w:rsid w:val="005179DF"/>
    <w:rsid w:val="00521AD1"/>
    <w:rsid w:val="0052431F"/>
    <w:rsid w:val="005244D3"/>
    <w:rsid w:val="00534BA9"/>
    <w:rsid w:val="00537007"/>
    <w:rsid w:val="00540454"/>
    <w:rsid w:val="00542A80"/>
    <w:rsid w:val="005523C4"/>
    <w:rsid w:val="0055288E"/>
    <w:rsid w:val="00553064"/>
    <w:rsid w:val="005666CB"/>
    <w:rsid w:val="005926DA"/>
    <w:rsid w:val="005963E7"/>
    <w:rsid w:val="005968BC"/>
    <w:rsid w:val="005A0C50"/>
    <w:rsid w:val="005A141A"/>
    <w:rsid w:val="005A41FC"/>
    <w:rsid w:val="005A42D8"/>
    <w:rsid w:val="005B46D9"/>
    <w:rsid w:val="005B5345"/>
    <w:rsid w:val="005B6DF3"/>
    <w:rsid w:val="005B7367"/>
    <w:rsid w:val="005B7571"/>
    <w:rsid w:val="005C1D8F"/>
    <w:rsid w:val="005C6252"/>
    <w:rsid w:val="005D1611"/>
    <w:rsid w:val="005D24CF"/>
    <w:rsid w:val="005D73D5"/>
    <w:rsid w:val="005E258A"/>
    <w:rsid w:val="005E5AD9"/>
    <w:rsid w:val="005F14DC"/>
    <w:rsid w:val="005F4F72"/>
    <w:rsid w:val="005F57BF"/>
    <w:rsid w:val="005F58FC"/>
    <w:rsid w:val="00610876"/>
    <w:rsid w:val="00613025"/>
    <w:rsid w:val="00616BA9"/>
    <w:rsid w:val="00617B9D"/>
    <w:rsid w:val="00623498"/>
    <w:rsid w:val="00626439"/>
    <w:rsid w:val="006342E1"/>
    <w:rsid w:val="00635E43"/>
    <w:rsid w:val="00640986"/>
    <w:rsid w:val="00642693"/>
    <w:rsid w:val="006470C4"/>
    <w:rsid w:val="00653F17"/>
    <w:rsid w:val="006614A8"/>
    <w:rsid w:val="00663BE9"/>
    <w:rsid w:val="00672596"/>
    <w:rsid w:val="006A2F59"/>
    <w:rsid w:val="006B3D8C"/>
    <w:rsid w:val="006C21FF"/>
    <w:rsid w:val="006C6F0D"/>
    <w:rsid w:val="006C7054"/>
    <w:rsid w:val="006C7E4A"/>
    <w:rsid w:val="006D6401"/>
    <w:rsid w:val="006E14A7"/>
    <w:rsid w:val="006E22F9"/>
    <w:rsid w:val="007137FE"/>
    <w:rsid w:val="00742A1E"/>
    <w:rsid w:val="00751A90"/>
    <w:rsid w:val="0075441A"/>
    <w:rsid w:val="00755BEC"/>
    <w:rsid w:val="00755D13"/>
    <w:rsid w:val="007642FC"/>
    <w:rsid w:val="00787A4C"/>
    <w:rsid w:val="00790C7C"/>
    <w:rsid w:val="00794E39"/>
    <w:rsid w:val="007A33FE"/>
    <w:rsid w:val="007A3E39"/>
    <w:rsid w:val="007A768E"/>
    <w:rsid w:val="007B201D"/>
    <w:rsid w:val="007B6E47"/>
    <w:rsid w:val="007C6522"/>
    <w:rsid w:val="007D0EC1"/>
    <w:rsid w:val="007D21AD"/>
    <w:rsid w:val="007E2AD2"/>
    <w:rsid w:val="007E6DD0"/>
    <w:rsid w:val="007E6FDC"/>
    <w:rsid w:val="007F40A7"/>
    <w:rsid w:val="0080566D"/>
    <w:rsid w:val="00824CA6"/>
    <w:rsid w:val="008437AB"/>
    <w:rsid w:val="00845D40"/>
    <w:rsid w:val="00863D74"/>
    <w:rsid w:val="00864377"/>
    <w:rsid w:val="00864999"/>
    <w:rsid w:val="008669B2"/>
    <w:rsid w:val="00883D83"/>
    <w:rsid w:val="00884EE6"/>
    <w:rsid w:val="008865EE"/>
    <w:rsid w:val="00886720"/>
    <w:rsid w:val="008867D7"/>
    <w:rsid w:val="008A4A02"/>
    <w:rsid w:val="008A5889"/>
    <w:rsid w:val="008B4AAE"/>
    <w:rsid w:val="008C0979"/>
    <w:rsid w:val="008C74F7"/>
    <w:rsid w:val="008D20A5"/>
    <w:rsid w:val="008D48FE"/>
    <w:rsid w:val="008F55D5"/>
    <w:rsid w:val="00904379"/>
    <w:rsid w:val="00915BE5"/>
    <w:rsid w:val="00920D12"/>
    <w:rsid w:val="00921719"/>
    <w:rsid w:val="0093155C"/>
    <w:rsid w:val="00936470"/>
    <w:rsid w:val="00936518"/>
    <w:rsid w:val="00962265"/>
    <w:rsid w:val="009775E5"/>
    <w:rsid w:val="009A4A6D"/>
    <w:rsid w:val="009A6BB0"/>
    <w:rsid w:val="009B1738"/>
    <w:rsid w:val="009B2D7D"/>
    <w:rsid w:val="009B42A4"/>
    <w:rsid w:val="009B6C8B"/>
    <w:rsid w:val="009C152D"/>
    <w:rsid w:val="009C1B90"/>
    <w:rsid w:val="009C3387"/>
    <w:rsid w:val="009D16A6"/>
    <w:rsid w:val="009D2008"/>
    <w:rsid w:val="009D6531"/>
    <w:rsid w:val="00A02CEA"/>
    <w:rsid w:val="00A03F8B"/>
    <w:rsid w:val="00A04848"/>
    <w:rsid w:val="00A11276"/>
    <w:rsid w:val="00A13533"/>
    <w:rsid w:val="00A136D3"/>
    <w:rsid w:val="00A14563"/>
    <w:rsid w:val="00A31C4D"/>
    <w:rsid w:val="00A33435"/>
    <w:rsid w:val="00A40B56"/>
    <w:rsid w:val="00A40DE2"/>
    <w:rsid w:val="00A42E9F"/>
    <w:rsid w:val="00A459CC"/>
    <w:rsid w:val="00A73EDC"/>
    <w:rsid w:val="00A774AA"/>
    <w:rsid w:val="00A84D72"/>
    <w:rsid w:val="00A9758F"/>
    <w:rsid w:val="00A9759E"/>
    <w:rsid w:val="00AB6A2A"/>
    <w:rsid w:val="00AC1357"/>
    <w:rsid w:val="00AC15A1"/>
    <w:rsid w:val="00AC269C"/>
    <w:rsid w:val="00AC5C25"/>
    <w:rsid w:val="00AC6000"/>
    <w:rsid w:val="00AD1898"/>
    <w:rsid w:val="00AD22C6"/>
    <w:rsid w:val="00AF0E85"/>
    <w:rsid w:val="00AF331C"/>
    <w:rsid w:val="00AF5D2C"/>
    <w:rsid w:val="00B0246A"/>
    <w:rsid w:val="00B20312"/>
    <w:rsid w:val="00B22ABC"/>
    <w:rsid w:val="00B34284"/>
    <w:rsid w:val="00B34ED6"/>
    <w:rsid w:val="00B417D0"/>
    <w:rsid w:val="00B51E40"/>
    <w:rsid w:val="00B548C4"/>
    <w:rsid w:val="00B55DF1"/>
    <w:rsid w:val="00B56723"/>
    <w:rsid w:val="00B63677"/>
    <w:rsid w:val="00B63D50"/>
    <w:rsid w:val="00B820E0"/>
    <w:rsid w:val="00B83539"/>
    <w:rsid w:val="00B8375F"/>
    <w:rsid w:val="00B84518"/>
    <w:rsid w:val="00B85653"/>
    <w:rsid w:val="00B94D61"/>
    <w:rsid w:val="00B97CAA"/>
    <w:rsid w:val="00BA73DD"/>
    <w:rsid w:val="00BB2463"/>
    <w:rsid w:val="00BB7DD5"/>
    <w:rsid w:val="00BC3370"/>
    <w:rsid w:val="00BD1D97"/>
    <w:rsid w:val="00BE4547"/>
    <w:rsid w:val="00BE5DC7"/>
    <w:rsid w:val="00BF0B6E"/>
    <w:rsid w:val="00BF4846"/>
    <w:rsid w:val="00C05FA3"/>
    <w:rsid w:val="00C06C28"/>
    <w:rsid w:val="00C072C7"/>
    <w:rsid w:val="00C2463E"/>
    <w:rsid w:val="00C25CDD"/>
    <w:rsid w:val="00C365C9"/>
    <w:rsid w:val="00C42074"/>
    <w:rsid w:val="00C53CD2"/>
    <w:rsid w:val="00C77466"/>
    <w:rsid w:val="00C96B86"/>
    <w:rsid w:val="00CC4BDF"/>
    <w:rsid w:val="00CC7B26"/>
    <w:rsid w:val="00CF67F5"/>
    <w:rsid w:val="00D00E52"/>
    <w:rsid w:val="00D019D9"/>
    <w:rsid w:val="00D0416B"/>
    <w:rsid w:val="00D114F8"/>
    <w:rsid w:val="00D169C3"/>
    <w:rsid w:val="00D176C7"/>
    <w:rsid w:val="00D17B56"/>
    <w:rsid w:val="00D35E03"/>
    <w:rsid w:val="00D3601A"/>
    <w:rsid w:val="00D4044A"/>
    <w:rsid w:val="00D410F5"/>
    <w:rsid w:val="00D42CFD"/>
    <w:rsid w:val="00D438A3"/>
    <w:rsid w:val="00D52DAF"/>
    <w:rsid w:val="00D56C40"/>
    <w:rsid w:val="00D612BB"/>
    <w:rsid w:val="00D71C28"/>
    <w:rsid w:val="00D72950"/>
    <w:rsid w:val="00D77955"/>
    <w:rsid w:val="00D85AFA"/>
    <w:rsid w:val="00D877AA"/>
    <w:rsid w:val="00D931DF"/>
    <w:rsid w:val="00DB0029"/>
    <w:rsid w:val="00DB115D"/>
    <w:rsid w:val="00DB2211"/>
    <w:rsid w:val="00DB2C14"/>
    <w:rsid w:val="00DB6B84"/>
    <w:rsid w:val="00DC0283"/>
    <w:rsid w:val="00DC4F1B"/>
    <w:rsid w:val="00DE277C"/>
    <w:rsid w:val="00DE2F80"/>
    <w:rsid w:val="00DF79BB"/>
    <w:rsid w:val="00E12BAD"/>
    <w:rsid w:val="00E13A18"/>
    <w:rsid w:val="00E1732A"/>
    <w:rsid w:val="00E2094F"/>
    <w:rsid w:val="00E21C67"/>
    <w:rsid w:val="00E24AFD"/>
    <w:rsid w:val="00E304F1"/>
    <w:rsid w:val="00E318B8"/>
    <w:rsid w:val="00E323D6"/>
    <w:rsid w:val="00E36E32"/>
    <w:rsid w:val="00E40611"/>
    <w:rsid w:val="00E41C9F"/>
    <w:rsid w:val="00E528AE"/>
    <w:rsid w:val="00E53321"/>
    <w:rsid w:val="00E566B6"/>
    <w:rsid w:val="00E60EBD"/>
    <w:rsid w:val="00E61CAD"/>
    <w:rsid w:val="00E63807"/>
    <w:rsid w:val="00E66F52"/>
    <w:rsid w:val="00E73D1D"/>
    <w:rsid w:val="00E7422D"/>
    <w:rsid w:val="00E810F6"/>
    <w:rsid w:val="00E8280E"/>
    <w:rsid w:val="00EB2250"/>
    <w:rsid w:val="00EC042F"/>
    <w:rsid w:val="00EC0F69"/>
    <w:rsid w:val="00EC2A83"/>
    <w:rsid w:val="00ED3B92"/>
    <w:rsid w:val="00ED445F"/>
    <w:rsid w:val="00ED7EFA"/>
    <w:rsid w:val="00EE1456"/>
    <w:rsid w:val="00EE170B"/>
    <w:rsid w:val="00EE2CA4"/>
    <w:rsid w:val="00EE40D7"/>
    <w:rsid w:val="00F15531"/>
    <w:rsid w:val="00F32059"/>
    <w:rsid w:val="00F55C69"/>
    <w:rsid w:val="00F60189"/>
    <w:rsid w:val="00F7375D"/>
    <w:rsid w:val="00F73ABB"/>
    <w:rsid w:val="00F7666E"/>
    <w:rsid w:val="00F766C3"/>
    <w:rsid w:val="00F7704B"/>
    <w:rsid w:val="00F86928"/>
    <w:rsid w:val="00F97753"/>
    <w:rsid w:val="00FA5918"/>
    <w:rsid w:val="00FB06DD"/>
    <w:rsid w:val="00FB4705"/>
    <w:rsid w:val="00FB4DCF"/>
    <w:rsid w:val="00FC609C"/>
    <w:rsid w:val="00FD2AEE"/>
    <w:rsid w:val="00FE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текст сноски"/>
    <w:basedOn w:val="a0"/>
    <w:uiPriority w:val="99"/>
    <w:rsid w:val="00790C7C"/>
    <w:rPr>
      <w:vertAlign w:val="superscript"/>
    </w:rPr>
  </w:style>
  <w:style w:type="paragraph" w:customStyle="1" w:styleId="ConsPlusNormal">
    <w:name w:val="ConsPlusNormal"/>
    <w:rsid w:val="00790C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aliases w:val=" Знак,Знак,Знак Знак,Текст сноски Знак Знак,fn,Текст сноски НИВ, Знак Знак Знак Знак,Знак Знак Знак Знак"/>
    <w:basedOn w:val="a"/>
    <w:link w:val="a5"/>
    <w:uiPriority w:val="99"/>
    <w:rsid w:val="0079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 Знак Знак,Знак Знак1,Знак Знак Знак,Текст сноски Знак Знак Знак,fn Знак,Текст сноски НИВ Знак, Знак Знак Знак Знак Знак,Знак Знак Знак Знак Знак"/>
    <w:basedOn w:val="a0"/>
    <w:link w:val="a4"/>
    <w:uiPriority w:val="99"/>
    <w:rsid w:val="00790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B4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D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531"/>
  </w:style>
  <w:style w:type="paragraph" w:styleId="a9">
    <w:name w:val="footer"/>
    <w:basedOn w:val="a"/>
    <w:link w:val="aa"/>
    <w:uiPriority w:val="99"/>
    <w:unhideWhenUsed/>
    <w:rsid w:val="009D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531"/>
  </w:style>
  <w:style w:type="paragraph" w:styleId="ab">
    <w:name w:val="Body Text"/>
    <w:basedOn w:val="a"/>
    <w:link w:val="ac"/>
    <w:rsid w:val="00663B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3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66F5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6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E2CA4"/>
    <w:pPr>
      <w:ind w:left="720"/>
      <w:contextualSpacing/>
    </w:pPr>
  </w:style>
  <w:style w:type="table" w:styleId="af0">
    <w:name w:val="Table Grid"/>
    <w:basedOn w:val="a1"/>
    <w:uiPriority w:val="59"/>
    <w:rsid w:val="004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6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7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6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0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9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8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6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8D36-D68B-448B-B06E-8D9D5E54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vitihonova</cp:lastModifiedBy>
  <cp:revision>5</cp:revision>
  <cp:lastPrinted>2016-05-12T06:27:00Z</cp:lastPrinted>
  <dcterms:created xsi:type="dcterms:W3CDTF">2016-05-16T09:13:00Z</dcterms:created>
  <dcterms:modified xsi:type="dcterms:W3CDTF">2016-05-18T06:58:00Z</dcterms:modified>
</cp:coreProperties>
</file>